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BADB3" w14:textId="709FBDD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520C65">
        <w:rPr>
          <w:sz w:val="32"/>
          <w:szCs w:val="32"/>
        </w:rPr>
        <w:t>08185</w:t>
      </w:r>
    </w:p>
    <w:p w14:paraId="7603AD5A"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061E4352" w14:textId="77777777" w:rsidR="00E90E49" w:rsidRPr="00CE0424" w:rsidRDefault="00E90E49" w:rsidP="00357380">
      <w:pPr>
        <w:pStyle w:val="3GPPHeader"/>
      </w:pPr>
    </w:p>
    <w:p w14:paraId="52094A60" w14:textId="3251A60F" w:rsidR="00E90E49" w:rsidRPr="00520C65" w:rsidRDefault="00E90E49" w:rsidP="00311702">
      <w:pPr>
        <w:pStyle w:val="3GPPHeader"/>
        <w:rPr>
          <w:sz w:val="22"/>
          <w:szCs w:val="22"/>
          <w:lang w:val="en-US"/>
        </w:rPr>
      </w:pPr>
      <w:r w:rsidRPr="00520C65">
        <w:rPr>
          <w:sz w:val="22"/>
          <w:szCs w:val="22"/>
          <w:lang w:val="en-US"/>
        </w:rPr>
        <w:t>Agenda Item:</w:t>
      </w:r>
      <w:r w:rsidRPr="00520C65">
        <w:rPr>
          <w:sz w:val="22"/>
          <w:szCs w:val="22"/>
          <w:lang w:val="en-US"/>
        </w:rPr>
        <w:tab/>
      </w:r>
      <w:r w:rsidR="003C0B95" w:rsidRPr="00520C65">
        <w:rPr>
          <w:sz w:val="22"/>
          <w:szCs w:val="22"/>
          <w:lang w:val="en-US"/>
        </w:rPr>
        <w:t>10.3.1.13</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78CB50B2" w14:textId="42707185" w:rsidR="00E90E49" w:rsidRPr="00CE0424" w:rsidRDefault="003D3C45" w:rsidP="00311702">
      <w:pPr>
        <w:pStyle w:val="3GPPHeader"/>
        <w:rPr>
          <w:sz w:val="22"/>
          <w:szCs w:val="22"/>
        </w:rPr>
      </w:pPr>
      <w:r>
        <w:rPr>
          <w:sz w:val="22"/>
          <w:szCs w:val="22"/>
        </w:rPr>
        <w:t>Title:</w:t>
      </w:r>
      <w:r w:rsidR="00E90E49" w:rsidRPr="00CE0424">
        <w:rPr>
          <w:sz w:val="22"/>
          <w:szCs w:val="22"/>
        </w:rPr>
        <w:tab/>
      </w:r>
      <w:r w:rsidR="00D020CC">
        <w:rPr>
          <w:sz w:val="22"/>
          <w:szCs w:val="22"/>
        </w:rPr>
        <w:t>Timing advance in NR</w:t>
      </w:r>
    </w:p>
    <w:p w14:paraId="2AE3A62A" w14:textId="4FC2BCA8" w:rsidR="00E90E49" w:rsidRDefault="00E90E49" w:rsidP="00D546FF">
      <w:pPr>
        <w:pStyle w:val="3GPPHeader"/>
        <w:rPr>
          <w:sz w:val="22"/>
          <w:szCs w:val="22"/>
        </w:rPr>
      </w:pPr>
      <w:r w:rsidRPr="00E94F57">
        <w:rPr>
          <w:sz w:val="22"/>
          <w:szCs w:val="22"/>
        </w:rPr>
        <w:t>Document for:</w:t>
      </w:r>
      <w:r w:rsidRPr="00E94F57">
        <w:rPr>
          <w:sz w:val="22"/>
          <w:szCs w:val="22"/>
        </w:rPr>
        <w:tab/>
      </w:r>
      <w:r w:rsidRPr="00EF35C9">
        <w:rPr>
          <w:sz w:val="22"/>
          <w:szCs w:val="22"/>
        </w:rPr>
        <w:t>Discussion, Decision</w:t>
      </w:r>
    </w:p>
    <w:p w14:paraId="7CCC691F" w14:textId="77777777" w:rsidR="00E94F57" w:rsidRPr="00CE0424" w:rsidRDefault="00E94F57" w:rsidP="00D546FF">
      <w:pPr>
        <w:pStyle w:val="3GPPHeader"/>
        <w:rPr>
          <w:sz w:val="22"/>
          <w:szCs w:val="22"/>
        </w:rPr>
      </w:pPr>
    </w:p>
    <w:p w14:paraId="5F5E684E" w14:textId="4B57C319" w:rsidR="00C24345" w:rsidRPr="009C1B48" w:rsidRDefault="00E90E49" w:rsidP="00520C65">
      <w:pPr>
        <w:pStyle w:val="Heading1"/>
      </w:pPr>
      <w:r w:rsidRPr="002B7151">
        <w:t>Introduction</w:t>
      </w:r>
    </w:p>
    <w:p w14:paraId="071CD92E" w14:textId="08425889" w:rsidR="00976EC1" w:rsidRDefault="00976EC1" w:rsidP="006B1FCF">
      <w:pPr>
        <w:rPr>
          <w:bCs/>
          <w:lang w:val="en-US"/>
        </w:rPr>
      </w:pPr>
      <w:r>
        <w:rPr>
          <w:bCs/>
          <w:lang w:val="en-US"/>
        </w:rPr>
        <w:t>In</w:t>
      </w:r>
      <w:r>
        <w:t xml:space="preserve"> LTE, uplink orthogonality is achieved by ensuring the transmissions from different UEs in the same cell are timing-aligned received by eNB</w:t>
      </w:r>
      <w:r w:rsidR="00520C65">
        <w:t xml:space="preserve"> and avoiding </w:t>
      </w:r>
      <w:r>
        <w:t>intra-cell interference between UEs. The timing alignment is implemented by applying a timing advance (TA) at UE transmitted uplink sub-frame, relative to the received downlink sub-frame. Therefore, it is important for NR to evaluate if there is potential impact of different numerologies on timing advance.</w:t>
      </w:r>
    </w:p>
    <w:p w14:paraId="43D46EA6" w14:textId="5BCBB946" w:rsidR="00A2052C" w:rsidRPr="00A2052C" w:rsidRDefault="00E20D9A" w:rsidP="00A2052C">
      <w:r>
        <w:rPr>
          <w:lang w:val="en-US"/>
        </w:rPr>
        <w:t>In this contribution, we elaborate RAN2 aspects for timing advance in NR.</w:t>
      </w:r>
    </w:p>
    <w:p w14:paraId="47A5A8E0" w14:textId="53DB9349" w:rsidR="004000E8" w:rsidRDefault="004000E8" w:rsidP="00CE0424">
      <w:pPr>
        <w:pStyle w:val="Heading1"/>
      </w:pPr>
      <w:bookmarkStart w:id="1" w:name="_Ref178064866"/>
      <w:r w:rsidRPr="00CE0424">
        <w:t>Discussion</w:t>
      </w:r>
      <w:bookmarkEnd w:id="1"/>
    </w:p>
    <w:p w14:paraId="15A0C3B8" w14:textId="6FC1B646" w:rsidR="00DE7F88" w:rsidRDefault="0011164C" w:rsidP="00DE7F88">
      <w:pPr>
        <w:pStyle w:val="Heading2"/>
      </w:pPr>
      <w:r>
        <w:t>Definition and number of TAGs</w:t>
      </w:r>
    </w:p>
    <w:p w14:paraId="17973881" w14:textId="4818B173" w:rsidR="00011D70" w:rsidRDefault="00011D70" w:rsidP="00520C65">
      <w:r>
        <w:t>In LTE</w:t>
      </w:r>
      <w:r w:rsidRPr="00520C65">
        <w:t xml:space="preserve">, </w:t>
      </w:r>
      <w:r w:rsidR="00D45701">
        <w:t>up to Rel-</w:t>
      </w:r>
      <w:r w:rsidRPr="00520C65">
        <w:t xml:space="preserve">10 there is no </w:t>
      </w:r>
      <w:r w:rsidR="00D45701" w:rsidRPr="00C17349">
        <w:t xml:space="preserve">Timing Advance Group (TAG) </w:t>
      </w:r>
      <w:r w:rsidR="00D45701">
        <w:t xml:space="preserve">defined for </w:t>
      </w:r>
      <w:r w:rsidRPr="00520C65">
        <w:t>component carrier</w:t>
      </w:r>
      <w:r w:rsidR="00D45701">
        <w:t>s</w:t>
      </w:r>
      <w:r w:rsidRPr="00520C65">
        <w:t xml:space="preserve">, </w:t>
      </w:r>
      <w:r w:rsidR="00D45701">
        <w:t>this means that a</w:t>
      </w:r>
      <w:r w:rsidRPr="00520C65">
        <w:t xml:space="preserve"> single </w:t>
      </w:r>
      <w:r w:rsidR="00D45701">
        <w:t>TA</w:t>
      </w:r>
      <w:r w:rsidRPr="00520C65">
        <w:t xml:space="preserve"> value </w:t>
      </w:r>
      <w:r w:rsidR="00D45701">
        <w:t xml:space="preserve">is applicable to </w:t>
      </w:r>
      <w:r w:rsidRPr="00520C65">
        <w:t xml:space="preserve">all </w:t>
      </w:r>
      <w:r w:rsidR="00D45701">
        <w:t>CCs</w:t>
      </w:r>
      <w:r w:rsidRPr="00520C65">
        <w:t xml:space="preserve">. </w:t>
      </w:r>
      <w:r w:rsidR="00D45701">
        <w:t xml:space="preserve">Since </w:t>
      </w:r>
      <w:r w:rsidRPr="00520C65">
        <w:t>Rel</w:t>
      </w:r>
      <w:r w:rsidR="00D45701">
        <w:t>-</w:t>
      </w:r>
      <w:r w:rsidRPr="00520C65">
        <w:t>11</w:t>
      </w:r>
      <w:r w:rsidR="00D45701">
        <w:t xml:space="preserve"> onwards</w:t>
      </w:r>
      <w:r w:rsidRPr="00520C65">
        <w:t xml:space="preserve">, </w:t>
      </w:r>
      <w:r w:rsidR="006023A5">
        <w:t xml:space="preserve">the concept of </w:t>
      </w:r>
      <w:r w:rsidR="00D45701" w:rsidRPr="00520C65">
        <w:t>TAG was introduced</w:t>
      </w:r>
      <w:r w:rsidR="00D45701">
        <w:t xml:space="preserve"> which c</w:t>
      </w:r>
      <w:r w:rsidR="00D45701" w:rsidRPr="00520C65">
        <w:t xml:space="preserve">onsists of one or more serving cells with the same uplink TA </w:t>
      </w:r>
      <w:r w:rsidR="00D45701">
        <w:t>value</w:t>
      </w:r>
      <w:r w:rsidR="00D45701" w:rsidRPr="00520C65">
        <w:t>.</w:t>
      </w:r>
      <w:r w:rsidR="00D45701">
        <w:t xml:space="preserve"> </w:t>
      </w:r>
      <w:r w:rsidR="006023A5" w:rsidRPr="006846AE">
        <w:rPr>
          <w:noProof/>
        </w:rPr>
        <w:t xml:space="preserve">A Timing Advance Group containing the </w:t>
      </w:r>
      <w:r w:rsidR="006023A5">
        <w:rPr>
          <w:noProof/>
        </w:rPr>
        <w:t>primary cell</w:t>
      </w:r>
      <w:r w:rsidR="006023A5" w:rsidRPr="006846AE">
        <w:rPr>
          <w:noProof/>
        </w:rPr>
        <w:t xml:space="preserve"> of a MAC entity is referred to as pTAG, whereas the term sTAG refers to other TAGs</w:t>
      </w:r>
      <w:r w:rsidR="006023A5">
        <w:t>. In</w:t>
      </w:r>
      <w:r w:rsidR="00D45701" w:rsidRPr="00520C65">
        <w:t xml:space="preserve"> </w:t>
      </w:r>
      <w:r w:rsidR="006023A5">
        <w:t xml:space="preserve">the </w:t>
      </w:r>
      <w:r w:rsidR="00D45701" w:rsidRPr="00520C65">
        <w:t xml:space="preserve">pTAG, </w:t>
      </w:r>
      <w:r w:rsidR="006023A5">
        <w:t xml:space="preserve">the TA value in </w:t>
      </w:r>
      <w:r w:rsidR="00D45701" w:rsidRPr="00520C65">
        <w:t xml:space="preserve">PCell </w:t>
      </w:r>
      <w:r w:rsidR="006023A5">
        <w:t xml:space="preserve">used </w:t>
      </w:r>
      <w:r w:rsidR="00D45701" w:rsidRPr="00520C65">
        <w:t xml:space="preserve">as </w:t>
      </w:r>
      <w:r w:rsidR="006023A5">
        <w:t xml:space="preserve">the </w:t>
      </w:r>
      <w:r w:rsidR="00D45701" w:rsidRPr="00520C65">
        <w:t>timing reference.</w:t>
      </w:r>
      <w:r w:rsidR="006023A5">
        <w:t xml:space="preserve"> While, in a </w:t>
      </w:r>
      <w:r w:rsidR="00D45701" w:rsidRPr="00520C65">
        <w:t xml:space="preserve">sTAG, </w:t>
      </w:r>
      <w:r w:rsidR="006023A5">
        <w:t xml:space="preserve">the TA value of </w:t>
      </w:r>
      <w:r w:rsidR="00D45701" w:rsidRPr="00520C65">
        <w:t xml:space="preserve">any of the activated SCells of </w:t>
      </w:r>
      <w:r w:rsidR="006023A5">
        <w:t>the</w:t>
      </w:r>
      <w:r w:rsidR="00D45701" w:rsidRPr="00520C65">
        <w:t xml:space="preserve"> TAG </w:t>
      </w:r>
      <w:r w:rsidR="006023A5">
        <w:t xml:space="preserve">is applied as the timing reference. As shown in the Figure </w:t>
      </w:r>
      <w:r w:rsidR="006023A5" w:rsidRPr="006846AE">
        <w:rPr>
          <w:rFonts w:eastAsia="Malgun Gothic"/>
          <w:noProof/>
        </w:rPr>
        <w:t>6.1.3.5-1</w:t>
      </w:r>
      <w:r w:rsidR="006023A5">
        <w:rPr>
          <w:rFonts w:eastAsia="Malgun Gothic"/>
          <w:noProof/>
        </w:rPr>
        <w:t xml:space="preserve"> in the MAC specfication</w:t>
      </w:r>
      <w:r w:rsidR="00520C65">
        <w:rPr>
          <w:rFonts w:eastAsia="Malgun Gothic"/>
          <w:noProof/>
        </w:rPr>
        <w:t xml:space="preserve"> TS 36.321</w:t>
      </w:r>
      <w:r w:rsidR="006023A5">
        <w:rPr>
          <w:rFonts w:eastAsia="Malgun Gothic"/>
          <w:noProof/>
        </w:rPr>
        <w:t xml:space="preserve">, </w:t>
      </w:r>
      <w:r w:rsidRPr="00520C65">
        <w:t xml:space="preserve">the first 2 bits are allocated to indicate </w:t>
      </w:r>
      <w:r w:rsidR="006023A5">
        <w:t xml:space="preserve">the TAG ID, meaning it is up to 4 TAGs can be configured, i.e., 1 </w:t>
      </w:r>
      <w:r w:rsidR="006023A5" w:rsidRPr="00C17349">
        <w:t>pTAG,</w:t>
      </w:r>
      <w:r w:rsidR="00AF25B7" w:rsidRPr="009C1B48">
        <w:t xml:space="preserve">plus </w:t>
      </w:r>
      <w:r w:rsidR="00AF25B7">
        <w:t>3</w:t>
      </w:r>
      <w:r w:rsidR="006023A5" w:rsidRPr="009C1B48">
        <w:t xml:space="preserve"> sTAGs</w:t>
      </w:r>
      <w:r w:rsidRPr="00520C65">
        <w:t>.</w:t>
      </w:r>
    </w:p>
    <w:p w14:paraId="5ED88AF7" w14:textId="309D7466" w:rsidR="00011D70" w:rsidRDefault="00AF25B7">
      <w:pPr>
        <w:rPr>
          <w:i/>
        </w:rPr>
      </w:pPr>
      <w:r>
        <w:t xml:space="preserve">For NR, </w:t>
      </w:r>
      <w:r w:rsidR="007A1356">
        <w:t>the maximum number of TAGs has been discussed by RAN1, where the discussions turn out that many companies tend to reuse the LTE upper bound. W</w:t>
      </w:r>
      <w:r>
        <w:t xml:space="preserve">e think this upper bound is reasonably to reuse since NR CA </w:t>
      </w:r>
      <w:r w:rsidR="007A1356">
        <w:t xml:space="preserve">would </w:t>
      </w:r>
      <w:r>
        <w:t>reuse</w:t>
      </w:r>
      <w:r w:rsidR="007A1356">
        <w:t xml:space="preserve"> most of technical details as LTE CA. Therefore, we suggest that</w:t>
      </w:r>
    </w:p>
    <w:p w14:paraId="66621F03" w14:textId="16F27E73" w:rsidR="00DE7F88" w:rsidRDefault="00DE7F88" w:rsidP="00DE7F88">
      <w:pPr>
        <w:pStyle w:val="Proposal"/>
      </w:pPr>
      <w:bookmarkStart w:id="2" w:name="_Toc490124963"/>
      <w:r>
        <w:t>Same as LTE, up to 4 TAGs are supported for NR</w:t>
      </w:r>
      <w:bookmarkEnd w:id="2"/>
      <w:r w:rsidR="00E94F57">
        <w:t>.</w:t>
      </w:r>
      <w:r>
        <w:t xml:space="preserve"> </w:t>
      </w:r>
    </w:p>
    <w:p w14:paraId="3355580A" w14:textId="7FC76CC0" w:rsidR="007A1356" w:rsidRDefault="002637D5" w:rsidP="00520C65">
      <w:r>
        <w:rPr>
          <w:lang w:eastAsia="ko-KR"/>
        </w:rPr>
        <w:t xml:space="preserve">Even within the same component carrier, it has </w:t>
      </w:r>
      <w:r w:rsidR="00520C65">
        <w:rPr>
          <w:lang w:eastAsia="ko-KR"/>
        </w:rPr>
        <w:t xml:space="preserve">been </w:t>
      </w:r>
      <w:r>
        <w:rPr>
          <w:lang w:eastAsia="ko-KR"/>
        </w:rPr>
        <w:t xml:space="preserve">agreed in </w:t>
      </w:r>
      <w:r w:rsidRPr="007A50DC">
        <w:rPr>
          <w:bCs/>
          <w:lang w:val="en-US"/>
        </w:rPr>
        <w:t>#RAN</w:t>
      </w:r>
      <w:r>
        <w:rPr>
          <w:bCs/>
          <w:lang w:val="en-US"/>
        </w:rPr>
        <w:t>1</w:t>
      </w:r>
      <w:r w:rsidRPr="007A50DC">
        <w:rPr>
          <w:bCs/>
          <w:lang w:val="en-US"/>
        </w:rPr>
        <w:t xml:space="preserve"> </w:t>
      </w:r>
      <w:r>
        <w:t>Ad Hoc held on 27th</w:t>
      </w:r>
      <w:r w:rsidRPr="00041775">
        <w:t xml:space="preserve"> – </w:t>
      </w:r>
      <w:r>
        <w:t>29</w:t>
      </w:r>
      <w:r w:rsidRPr="00041775">
        <w:t xml:space="preserve">th </w:t>
      </w:r>
      <w:r>
        <w:t>June</w:t>
      </w:r>
      <w:r w:rsidRPr="00041775">
        <w:t xml:space="preserve"> 2017</w:t>
      </w:r>
      <w:r>
        <w:t xml:space="preserve">, that different </w:t>
      </w:r>
      <w:r w:rsidRPr="00C17349">
        <w:t>BandWidth Parts (BWPs)</w:t>
      </w:r>
      <w:r w:rsidR="00520C65">
        <w:t xml:space="preserve"> </w:t>
      </w:r>
      <w:r>
        <w:t xml:space="preserve">can be configured, and each BWP is connected to </w:t>
      </w:r>
      <w:r w:rsidR="00520C65">
        <w:t xml:space="preserve">a </w:t>
      </w:r>
      <w:r>
        <w:t>certain numerology.</w:t>
      </w:r>
      <w:r w:rsidRPr="00520C65">
        <w:t xml:space="preserve"> </w:t>
      </w:r>
      <w:r>
        <w:t>A</w:t>
      </w:r>
      <w:r w:rsidRPr="00520C65">
        <w:t xml:space="preserve"> UE can be configured with one or multiple BWPs.</w:t>
      </w:r>
      <w:r>
        <w:t xml:space="preserve"> The TAG was designed to group multiple cells that share the same timing advance. For each TAG, the timing advance of a serving cell is used as the timing reference for the whole group. Therefore, it is a reasonable assumption that BWPs in the same serving cell belong to the TAG that this serving cell is associated with. In other words, </w:t>
      </w:r>
      <w:r w:rsidR="00B867C4">
        <w:t>BWPs use the timing advance of their associated serving cell, as the timing reference.</w:t>
      </w:r>
      <w:r w:rsidR="000E01B7">
        <w:t xml:space="preserve"> The gNB, configures TAGs for each UE similarly as that in LTE. </w:t>
      </w:r>
    </w:p>
    <w:p w14:paraId="5D4C9A1E" w14:textId="6D7741CA" w:rsidR="00DE7F88" w:rsidRDefault="00DE7F88" w:rsidP="00DE7F88">
      <w:pPr>
        <w:pStyle w:val="Proposal"/>
      </w:pPr>
      <w:bookmarkStart w:id="3" w:name="_Toc490124964"/>
      <w:r>
        <w:t xml:space="preserve">The BWPs belonging to the same serving cell </w:t>
      </w:r>
      <w:r w:rsidR="00E94F57">
        <w:t>should be</w:t>
      </w:r>
      <w:r>
        <w:t xml:space="preserve"> included in the same TAG</w:t>
      </w:r>
      <w:r w:rsidR="00E94F57">
        <w:t>.</w:t>
      </w:r>
      <w:bookmarkEnd w:id="3"/>
    </w:p>
    <w:p w14:paraId="69166893" w14:textId="1DFA254C" w:rsidR="0011164C" w:rsidRDefault="0011164C" w:rsidP="0011164C">
      <w:pPr>
        <w:pStyle w:val="Heading2"/>
      </w:pPr>
      <w:r>
        <w:lastRenderedPageBreak/>
        <w:t xml:space="preserve">Impact on </w:t>
      </w:r>
      <w:r w:rsidRPr="00EF35C9">
        <w:rPr>
          <w:i/>
        </w:rPr>
        <w:t>timeAlignmentTimer</w:t>
      </w:r>
    </w:p>
    <w:p w14:paraId="1BBD794A" w14:textId="4CB60C8B" w:rsidR="00974964" w:rsidRDefault="00F60FFB" w:rsidP="00520C65">
      <w:pPr>
        <w:tabs>
          <w:tab w:val="left" w:pos="2783"/>
        </w:tabs>
      </w:pPr>
      <w:r>
        <w:t xml:space="preserve">In </w:t>
      </w:r>
      <w:r w:rsidR="00974964">
        <w:t xml:space="preserve">LTE, </w:t>
      </w:r>
      <w:r>
        <w:t>t</w:t>
      </w:r>
      <w:r w:rsidRPr="00C736F5">
        <w:t>he setting of the timer is either UE specific,</w:t>
      </w:r>
      <w:r w:rsidR="00924759" w:rsidRPr="00C736F5">
        <w:t>signalled</w:t>
      </w:r>
      <w:r w:rsidRPr="00C736F5">
        <w:t xml:space="preserve"> via the </w:t>
      </w:r>
      <w:r w:rsidR="00520C65">
        <w:t>RRC</w:t>
      </w:r>
      <w:r w:rsidRPr="00C736F5">
        <w:t xml:space="preserve"> parameter </w:t>
      </w:r>
      <w:r w:rsidRPr="009037A3">
        <w:rPr>
          <w:i/>
          <w:iCs/>
        </w:rPr>
        <w:t>timeAlignmentTimerDedicated</w:t>
      </w:r>
      <w:r w:rsidRPr="00C736F5">
        <w:t xml:space="preserve"> through dedicated signalling between the UE and the eN</w:t>
      </w:r>
      <w:r w:rsidR="00924759">
        <w:t>B</w:t>
      </w:r>
      <w:r w:rsidRPr="00C736F5">
        <w:t xml:space="preserve">, or cell specific signaled via the </w:t>
      </w:r>
      <w:r w:rsidR="00520C65">
        <w:t>RRC</w:t>
      </w:r>
      <w:r w:rsidRPr="00C736F5">
        <w:t xml:space="preserve"> parameter </w:t>
      </w:r>
      <w:r w:rsidRPr="009037A3">
        <w:rPr>
          <w:i/>
          <w:iCs/>
        </w:rPr>
        <w:t>timeAlignmentTimerCommon</w:t>
      </w:r>
      <w:r w:rsidRPr="00C736F5">
        <w:t xml:space="preserve"> via SIB2.</w:t>
      </w:r>
      <w:r>
        <w:t xml:space="preserve"> </w:t>
      </w:r>
      <w:r w:rsidR="00924759">
        <w:t xml:space="preserve">The UE uses the cell specific setting if there is no UE specific setting is received. It is reasonable to reuse the same signalling options in NR, as that in LTE. Therefore, we suggest that </w:t>
      </w:r>
    </w:p>
    <w:p w14:paraId="4ADC4341" w14:textId="27C4F8E1" w:rsidR="00974964" w:rsidRDefault="00974964" w:rsidP="0011164C">
      <w:pPr>
        <w:pStyle w:val="Proposal"/>
      </w:pPr>
      <w:bookmarkStart w:id="4" w:name="_Toc490124965"/>
      <w:bookmarkStart w:id="5" w:name="_Toc489457131"/>
      <w:bookmarkStart w:id="6" w:name="_Toc489457166"/>
      <w:bookmarkStart w:id="7" w:name="_Toc489457224"/>
      <w:bookmarkStart w:id="8" w:name="_Toc489457284"/>
      <w:r w:rsidRPr="00680D14">
        <w:t>Similar as LTE,</w:t>
      </w:r>
      <w:r>
        <w:t xml:space="preserve"> </w:t>
      </w:r>
      <w:r w:rsidR="0011164C">
        <w:t xml:space="preserve">the </w:t>
      </w:r>
      <w:r w:rsidR="00924759">
        <w:t xml:space="preserve">setting of the </w:t>
      </w:r>
      <w:r w:rsidRPr="00EF35C9">
        <w:rPr>
          <w:i/>
        </w:rPr>
        <w:t>timeAlignmentTimer</w:t>
      </w:r>
      <w:r>
        <w:t xml:space="preserve"> </w:t>
      </w:r>
      <w:r w:rsidR="0011164C">
        <w:t>can be configured by means including</w:t>
      </w:r>
      <w:bookmarkEnd w:id="4"/>
      <w:r w:rsidR="0011164C">
        <w:t xml:space="preserve"> </w:t>
      </w:r>
      <w:bookmarkEnd w:id="5"/>
      <w:bookmarkEnd w:id="6"/>
      <w:bookmarkEnd w:id="7"/>
      <w:bookmarkEnd w:id="8"/>
    </w:p>
    <w:p w14:paraId="7F0D02E7" w14:textId="5B74C04B" w:rsidR="00974964" w:rsidRDefault="0011164C" w:rsidP="00974964">
      <w:pPr>
        <w:pStyle w:val="Proposal"/>
        <w:numPr>
          <w:ilvl w:val="1"/>
          <w:numId w:val="3"/>
        </w:numPr>
      </w:pPr>
      <w:bookmarkStart w:id="9" w:name="_Toc489457132"/>
      <w:bookmarkStart w:id="10" w:name="_Toc489457167"/>
      <w:bookmarkStart w:id="11" w:name="_Toc489457225"/>
      <w:bookmarkStart w:id="12" w:name="_Toc489457285"/>
      <w:bookmarkStart w:id="13" w:name="_Toc490124966"/>
      <w:r>
        <w:t xml:space="preserve">Cell specific configuration </w:t>
      </w:r>
      <w:r w:rsidR="00974964">
        <w:t xml:space="preserve">conveyed via system </w:t>
      </w:r>
      <w:bookmarkEnd w:id="9"/>
      <w:bookmarkEnd w:id="10"/>
      <w:bookmarkEnd w:id="11"/>
      <w:bookmarkEnd w:id="12"/>
      <w:r w:rsidR="00F60FFB">
        <w:t>information</w:t>
      </w:r>
      <w:bookmarkEnd w:id="13"/>
    </w:p>
    <w:p w14:paraId="31356682" w14:textId="76BBC7E6" w:rsidR="00974964" w:rsidRDefault="00974964" w:rsidP="00974964">
      <w:pPr>
        <w:pStyle w:val="Proposal"/>
        <w:numPr>
          <w:ilvl w:val="1"/>
          <w:numId w:val="3"/>
        </w:numPr>
      </w:pPr>
      <w:bookmarkStart w:id="14" w:name="_Toc489457133"/>
      <w:bookmarkStart w:id="15" w:name="_Toc489457168"/>
      <w:bookmarkStart w:id="16" w:name="_Toc489457226"/>
      <w:bookmarkStart w:id="17" w:name="_Toc489457286"/>
      <w:bookmarkStart w:id="18" w:name="_Toc490124967"/>
      <w:r>
        <w:t xml:space="preserve">UE specific </w:t>
      </w:r>
      <w:r w:rsidR="0011164C">
        <w:t xml:space="preserve">configuration </w:t>
      </w:r>
      <w:r>
        <w:t xml:space="preserve">conveyed via UE </w:t>
      </w:r>
      <w:r w:rsidR="00F60FFB">
        <w:t>dedicated</w:t>
      </w:r>
      <w:r>
        <w:t xml:space="preserve"> RRC signalling</w:t>
      </w:r>
      <w:bookmarkEnd w:id="14"/>
      <w:bookmarkEnd w:id="15"/>
      <w:bookmarkEnd w:id="16"/>
      <w:bookmarkEnd w:id="17"/>
      <w:bookmarkEnd w:id="18"/>
    </w:p>
    <w:p w14:paraId="46B67009" w14:textId="77777777" w:rsidR="00E97668" w:rsidRDefault="00E97668" w:rsidP="00520C65"/>
    <w:p w14:paraId="44572816" w14:textId="3C6D432A" w:rsidR="004F2783" w:rsidRPr="00520C65" w:rsidRDefault="00B66151" w:rsidP="00520C65">
      <w:r w:rsidRPr="00980124">
        <w:t>In LTE, i</w:t>
      </w:r>
      <w:r w:rsidR="004F2783" w:rsidRPr="00980124">
        <w:t xml:space="preserve">f the </w:t>
      </w:r>
      <w:r w:rsidR="004F2783" w:rsidRPr="009037A3">
        <w:rPr>
          <w:i/>
        </w:rPr>
        <w:t>timeAlignmentTimer</w:t>
      </w:r>
      <w:r w:rsidR="004F2783" w:rsidRPr="00980124">
        <w:t xml:space="preserve"> associated with the pTAG</w:t>
      </w:r>
      <w:r w:rsidRPr="00980124">
        <w:t xml:space="preserve"> expires, the UE shall </w:t>
      </w:r>
    </w:p>
    <w:p w14:paraId="5EA9B480" w14:textId="77777777" w:rsidR="004F2783" w:rsidRPr="00520C65" w:rsidRDefault="004F2783" w:rsidP="00520C65">
      <w:r w:rsidRPr="00520C65">
        <w:t>-</w:t>
      </w:r>
      <w:r w:rsidRPr="00520C65">
        <w:tab/>
        <w:t>flush all HARQ buffers for all serving cells;</w:t>
      </w:r>
    </w:p>
    <w:p w14:paraId="2F7E6A8B" w14:textId="60061458" w:rsidR="004F2783" w:rsidRPr="00520C65" w:rsidRDefault="004F2783" w:rsidP="00520C65">
      <w:r w:rsidRPr="00520C65">
        <w:t>-</w:t>
      </w:r>
      <w:r w:rsidRPr="00520C65">
        <w:tab/>
        <w:t>notify RRC to release PUCCH</w:t>
      </w:r>
      <w:r w:rsidR="00B66151">
        <w:t xml:space="preserve"> and SRS</w:t>
      </w:r>
      <w:r w:rsidRPr="00520C65">
        <w:t xml:space="preserve"> for all serving cells;</w:t>
      </w:r>
    </w:p>
    <w:p w14:paraId="2762EACF" w14:textId="5D9D1FD3" w:rsidR="004F2783" w:rsidRPr="009E6BD9" w:rsidRDefault="004F2783" w:rsidP="00520C65">
      <w:r w:rsidRPr="00520C65">
        <w:t>-</w:t>
      </w:r>
      <w:r w:rsidRPr="00520C65">
        <w:tab/>
      </w:r>
      <w:r w:rsidR="00B66151">
        <w:t>clea</w:t>
      </w:r>
      <w:r w:rsidRPr="009E6BD9">
        <w:t>r any configured downlink assignments and uplink grants;</w:t>
      </w:r>
    </w:p>
    <w:p w14:paraId="18D6CC70" w14:textId="77777777" w:rsidR="004F2783" w:rsidRPr="00980124" w:rsidRDefault="004F2783" w:rsidP="00520C65">
      <w:r w:rsidRPr="00980124">
        <w:t>-</w:t>
      </w:r>
      <w:r w:rsidRPr="00980124">
        <w:tab/>
        <w:t xml:space="preserve">consider all running </w:t>
      </w:r>
      <w:r w:rsidRPr="00520C65">
        <w:t>timeAlignmentTimer</w:t>
      </w:r>
      <w:r w:rsidRPr="00980124">
        <w:t>s as expired;</w:t>
      </w:r>
    </w:p>
    <w:p w14:paraId="036D91E0" w14:textId="6FDAC7C2" w:rsidR="004F2783" w:rsidRPr="00520C65" w:rsidRDefault="004F2783" w:rsidP="00520C65">
      <w:r w:rsidRPr="00520C65">
        <w:t xml:space="preserve">if the </w:t>
      </w:r>
      <w:r w:rsidRPr="009037A3">
        <w:rPr>
          <w:i/>
        </w:rPr>
        <w:t>timeAlignmentTimer</w:t>
      </w:r>
      <w:r w:rsidRPr="00520C65">
        <w:t xml:space="preserve"> is associated with an sTAG, then for all Serving Cells belonging to this TAG:</w:t>
      </w:r>
    </w:p>
    <w:p w14:paraId="1D81DFCC" w14:textId="77777777" w:rsidR="004F2783" w:rsidRPr="00520C65" w:rsidRDefault="004F2783" w:rsidP="00520C65">
      <w:r w:rsidRPr="00520C65">
        <w:t>-</w:t>
      </w:r>
      <w:r w:rsidRPr="00520C65">
        <w:tab/>
        <w:t>flush all HARQ buffers;</w:t>
      </w:r>
    </w:p>
    <w:p w14:paraId="1A73490A" w14:textId="77777777" w:rsidR="004F2783" w:rsidRPr="00520C65" w:rsidRDefault="004F2783" w:rsidP="00520C65">
      <w:r w:rsidRPr="00520C65">
        <w:t>-</w:t>
      </w:r>
      <w:r w:rsidRPr="00520C65">
        <w:tab/>
        <w:t>notify RRC to release SRS;</w:t>
      </w:r>
    </w:p>
    <w:p w14:paraId="778889FC" w14:textId="77777777" w:rsidR="007663BC" w:rsidRDefault="004F2783" w:rsidP="00520C65">
      <w:r w:rsidRPr="00520C65">
        <w:t>-</w:t>
      </w:r>
      <w:r w:rsidRPr="00520C65">
        <w:tab/>
        <w:t>notify RRC to release PUCCH, if configured.</w:t>
      </w:r>
    </w:p>
    <w:p w14:paraId="30342BF8" w14:textId="23315BEF" w:rsidR="002A1595" w:rsidRDefault="00301005" w:rsidP="00520C65">
      <w:pPr>
        <w:rPr>
          <w:noProof/>
        </w:rPr>
      </w:pPr>
      <w:r>
        <w:t xml:space="preserve">The expiry of a </w:t>
      </w:r>
      <w:r w:rsidRPr="006846AE">
        <w:rPr>
          <w:i/>
          <w:noProof/>
        </w:rPr>
        <w:t>timeAlignmentTimer</w:t>
      </w:r>
      <w:r>
        <w:rPr>
          <w:i/>
          <w:noProof/>
        </w:rPr>
        <w:t xml:space="preserve"> </w:t>
      </w:r>
      <w:r w:rsidRPr="00520C65">
        <w:rPr>
          <w:noProof/>
        </w:rPr>
        <w:t>means that the UE loses uplink timing alig</w:t>
      </w:r>
      <w:r w:rsidR="000D5D19">
        <w:rPr>
          <w:noProof/>
        </w:rPr>
        <w:t>n</w:t>
      </w:r>
      <w:r w:rsidRPr="00520C65">
        <w:rPr>
          <w:noProof/>
        </w:rPr>
        <w:t xml:space="preserve">ment in the associated TAG. </w:t>
      </w:r>
      <w:r w:rsidR="003213D4">
        <w:rPr>
          <w:noProof/>
        </w:rPr>
        <w:t>The above operations allow a UE to recover the UL sync. NR shall reuse the same operations as like LTE.</w:t>
      </w:r>
      <w:r w:rsidR="009B1EC8">
        <w:rPr>
          <w:noProof/>
        </w:rPr>
        <w:t xml:space="preserve"> Additionally, the </w:t>
      </w:r>
      <w:r w:rsidR="00E94F57">
        <w:rPr>
          <w:noProof/>
        </w:rPr>
        <w:t xml:space="preserve">support of </w:t>
      </w:r>
      <w:r w:rsidR="009B1EC8">
        <w:rPr>
          <w:noProof/>
        </w:rPr>
        <w:t>SPS in secondary cell</w:t>
      </w:r>
      <w:r w:rsidR="00E94F57">
        <w:rPr>
          <w:noProof/>
        </w:rPr>
        <w:t>s</w:t>
      </w:r>
      <w:r w:rsidR="009B1EC8">
        <w:rPr>
          <w:noProof/>
        </w:rPr>
        <w:t xml:space="preserve"> is being discussed</w:t>
      </w:r>
      <w:r w:rsidR="001D4472">
        <w:rPr>
          <w:noProof/>
        </w:rPr>
        <w:t xml:space="preserve"> in RAN2</w:t>
      </w:r>
      <w:r w:rsidR="009B1EC8">
        <w:rPr>
          <w:noProof/>
        </w:rPr>
        <w:t xml:space="preserve">.  If RAN2 agrees to </w:t>
      </w:r>
      <w:r w:rsidR="00E94F57">
        <w:rPr>
          <w:noProof/>
        </w:rPr>
        <w:t>support</w:t>
      </w:r>
      <w:r w:rsidR="009B1EC8">
        <w:rPr>
          <w:noProof/>
        </w:rPr>
        <w:t>y SPS for secondary cell</w:t>
      </w:r>
      <w:r w:rsidR="00E94F57">
        <w:rPr>
          <w:noProof/>
        </w:rPr>
        <w:t>s</w:t>
      </w:r>
      <w:r w:rsidR="009B1EC8">
        <w:rPr>
          <w:noProof/>
        </w:rPr>
        <w:t xml:space="preserve">, the UE must also </w:t>
      </w:r>
      <w:r w:rsidR="007663BC">
        <w:rPr>
          <w:noProof/>
        </w:rPr>
        <w:t xml:space="preserve">clear </w:t>
      </w:r>
      <w:r w:rsidR="00E97668">
        <w:rPr>
          <w:noProof/>
        </w:rPr>
        <w:t xml:space="preserve">relevant </w:t>
      </w:r>
      <w:r w:rsidR="001D4472">
        <w:rPr>
          <w:noProof/>
        </w:rPr>
        <w:t>resources when the associated TA timer expires.</w:t>
      </w:r>
    </w:p>
    <w:p w14:paraId="1E27A7B7" w14:textId="2614A496" w:rsidR="00E55919" w:rsidRPr="00520C65" w:rsidRDefault="0017515B" w:rsidP="004D541E">
      <w:pPr>
        <w:pStyle w:val="Observation"/>
      </w:pPr>
      <w:bookmarkStart w:id="19" w:name="_Toc490124960"/>
      <w:r>
        <w:rPr>
          <w:lang w:eastAsia="ko-KR"/>
        </w:rPr>
        <w:t xml:space="preserve">Additionally, </w:t>
      </w:r>
      <w:r w:rsidR="00E55919">
        <w:rPr>
          <w:lang w:eastAsia="ko-KR"/>
        </w:rPr>
        <w:t xml:space="preserve">If RAN2 decides to </w:t>
      </w:r>
      <w:r w:rsidR="00E94F57">
        <w:rPr>
          <w:lang w:eastAsia="ko-KR"/>
        </w:rPr>
        <w:t>support</w:t>
      </w:r>
      <w:r w:rsidR="00E55919">
        <w:rPr>
          <w:lang w:eastAsia="ko-KR"/>
        </w:rPr>
        <w:t xml:space="preserve"> SPS for secondary cells, the UE must also clear relevant resources for data transmission</w:t>
      </w:r>
      <w:r>
        <w:rPr>
          <w:lang w:eastAsia="ko-KR"/>
        </w:rPr>
        <w:t xml:space="preserve"> in the sTAG upon expiry of its associated </w:t>
      </w:r>
      <w:r w:rsidRPr="00EF35C9">
        <w:rPr>
          <w:i/>
          <w:lang w:eastAsia="ko-KR"/>
        </w:rPr>
        <w:t>timeAlignmentTimer</w:t>
      </w:r>
      <w:bookmarkEnd w:id="19"/>
      <w:r w:rsidR="00E94F57" w:rsidRPr="00EF35C9">
        <w:rPr>
          <w:lang w:eastAsia="ko-KR"/>
        </w:rPr>
        <w:t>.</w:t>
      </w:r>
      <w:r w:rsidR="00E55919">
        <w:rPr>
          <w:lang w:eastAsia="ko-KR"/>
        </w:rPr>
        <w:t xml:space="preserve"> </w:t>
      </w:r>
    </w:p>
    <w:p w14:paraId="6E893F37" w14:textId="4D88A292" w:rsidR="00666AF8" w:rsidRDefault="004F2783" w:rsidP="004F2783">
      <w:pPr>
        <w:pStyle w:val="Proposal"/>
      </w:pPr>
      <w:bookmarkStart w:id="20" w:name="_Toc490124968"/>
      <w:r w:rsidRPr="005072C5">
        <w:t xml:space="preserve">The UE </w:t>
      </w:r>
      <w:r w:rsidR="00B81E8A">
        <w:t>actions upon</w:t>
      </w:r>
      <w:r w:rsidRPr="005072C5">
        <w:t xml:space="preserve"> </w:t>
      </w:r>
      <w:r w:rsidR="00B81E8A" w:rsidRPr="006846AE">
        <w:rPr>
          <w:noProof/>
        </w:rPr>
        <w:t xml:space="preserve">expiry of </w:t>
      </w:r>
      <w:r w:rsidR="00B81E8A">
        <w:rPr>
          <w:noProof/>
        </w:rPr>
        <w:t>a</w:t>
      </w:r>
      <w:r w:rsidR="00B81E8A" w:rsidRPr="006846AE">
        <w:rPr>
          <w:noProof/>
        </w:rPr>
        <w:t xml:space="preserve"> </w:t>
      </w:r>
      <w:r w:rsidR="00B81E8A" w:rsidRPr="006846AE">
        <w:rPr>
          <w:i/>
          <w:noProof/>
        </w:rPr>
        <w:t>timeAlignmentTimer</w:t>
      </w:r>
      <w:r w:rsidRPr="005072C5">
        <w:t xml:space="preserve"> </w:t>
      </w:r>
      <w:r w:rsidR="0017515B">
        <w:t xml:space="preserve">in </w:t>
      </w:r>
      <w:r w:rsidRPr="005072C5">
        <w:t>LTE</w:t>
      </w:r>
      <w:r w:rsidR="0017515B">
        <w:t xml:space="preserve"> is applied as the baseline for NR</w:t>
      </w:r>
      <w:bookmarkEnd w:id="20"/>
      <w:r w:rsidR="00E94F57">
        <w:t>.</w:t>
      </w:r>
    </w:p>
    <w:p w14:paraId="627FC3FD" w14:textId="2D3AF852" w:rsidR="004F2783" w:rsidRDefault="00666AF8" w:rsidP="009037A3">
      <w:pPr>
        <w:pStyle w:val="BodyText"/>
      </w:pPr>
      <w:r>
        <w:t xml:space="preserve">The </w:t>
      </w:r>
      <w:r>
        <w:rPr>
          <w:i/>
        </w:rPr>
        <w:t>timeAlignmentTimer</w:t>
      </w:r>
      <w:r>
        <w:t xml:space="preserve"> is defined in subframes in LTE. Also in NR one subframe equals one millisecond so in principle the timer could be configured in subframes also in NR. </w:t>
      </w:r>
    </w:p>
    <w:p w14:paraId="5341D3B7" w14:textId="6DA9FA14" w:rsidR="00666AF8" w:rsidRPr="00C17349" w:rsidRDefault="00666AF8">
      <w:pPr>
        <w:pStyle w:val="Proposal"/>
      </w:pPr>
      <w:bookmarkStart w:id="21" w:name="_Toc490124969"/>
      <w:r>
        <w:t xml:space="preserve">As in LTE, the </w:t>
      </w:r>
      <w:r>
        <w:rPr>
          <w:i/>
        </w:rPr>
        <w:t xml:space="preserve">timeAlignmentTimer </w:t>
      </w:r>
      <w:r>
        <w:t>is configured in milliseconds, values are FFS.</w:t>
      </w:r>
      <w:bookmarkEnd w:id="21"/>
    </w:p>
    <w:p w14:paraId="0B10B452" w14:textId="16561EC9" w:rsidR="00974964" w:rsidRPr="00974964" w:rsidRDefault="00472343" w:rsidP="00520C65">
      <w:pPr>
        <w:pStyle w:val="Heading2"/>
      </w:pPr>
      <w:r w:rsidRPr="00FB2122">
        <w:t>TAG specific configuration</w:t>
      </w:r>
    </w:p>
    <w:p w14:paraId="581B31CF" w14:textId="3D3D72FF" w:rsidR="00B6239B" w:rsidRPr="00520C65" w:rsidRDefault="00C44584">
      <w:pPr>
        <w:rPr>
          <w:lang w:val="en-US"/>
        </w:rPr>
      </w:pPr>
      <w:r w:rsidRPr="00520C65">
        <w:t xml:space="preserve">As for </w:t>
      </w:r>
      <w:r w:rsidR="00AB443B" w:rsidRPr="00520C65">
        <w:t xml:space="preserve">a </w:t>
      </w:r>
      <w:r w:rsidRPr="00520C65">
        <w:t xml:space="preserve">small CP length at </w:t>
      </w:r>
      <w:r w:rsidR="00AB443B" w:rsidRPr="00520C65">
        <w:t xml:space="preserve">a </w:t>
      </w:r>
      <w:r w:rsidRPr="00520C65">
        <w:t>large SCS</w:t>
      </w:r>
      <w:r w:rsidR="0001078D">
        <w:t xml:space="preserve"> (which is typically targeting to be deployed for a small cell at high frequency carriers)</w:t>
      </w:r>
      <w:r w:rsidRPr="00520C65">
        <w:t xml:space="preserve">, the allowed timing </w:t>
      </w:r>
      <w:r w:rsidR="00916892" w:rsidRPr="00520C65">
        <w:t>dri</w:t>
      </w:r>
      <w:r w:rsidR="00E16CBE" w:rsidRPr="00520C65">
        <w:t xml:space="preserve">fting </w:t>
      </w:r>
      <w:r w:rsidRPr="00520C65">
        <w:t xml:space="preserve">error for uplink transmission by a UE is </w:t>
      </w:r>
      <w:r w:rsidR="00AB443B" w:rsidRPr="00520C65">
        <w:t xml:space="preserve">also </w:t>
      </w:r>
      <w:r w:rsidRPr="00520C65">
        <w:t xml:space="preserve">small, </w:t>
      </w:r>
      <w:r w:rsidR="00406708" w:rsidRPr="00520C65">
        <w:t>meaning</w:t>
      </w:r>
      <w:r w:rsidRPr="00520C65">
        <w:t xml:space="preserve"> that</w:t>
      </w:r>
      <w:r w:rsidR="00546E1E" w:rsidRPr="00520C65">
        <w:t xml:space="preserve"> a more</w:t>
      </w:r>
      <w:r w:rsidRPr="00520C65">
        <w:t xml:space="preserve"> frequent timing advance adjustment </w:t>
      </w:r>
      <w:r w:rsidR="00546E1E" w:rsidRPr="00520C65">
        <w:t>may be</w:t>
      </w:r>
      <w:r w:rsidRPr="00520C65">
        <w:t xml:space="preserve"> necessary</w:t>
      </w:r>
      <w:r w:rsidR="0001078D">
        <w:t xml:space="preserve"> especially for highly move UEs</w:t>
      </w:r>
      <w:r w:rsidR="00E16CBE" w:rsidRPr="00520C65">
        <w:t xml:space="preserve">. </w:t>
      </w:r>
      <w:r w:rsidR="00546E1E" w:rsidRPr="00520C65">
        <w:t>In case</w:t>
      </w:r>
      <w:r w:rsidR="00E16CBE" w:rsidRPr="00520C65">
        <w:t xml:space="preserve"> a UE </w:t>
      </w:r>
      <w:r w:rsidR="00546E1E" w:rsidRPr="00520C65">
        <w:t>is configured with</w:t>
      </w:r>
      <w:r w:rsidR="00E16CBE" w:rsidRPr="00520C65">
        <w:t xml:space="preserve"> two time advance groups (TAGs)</w:t>
      </w:r>
      <w:r w:rsidR="00546E1E" w:rsidRPr="00520C65">
        <w:t xml:space="preserve"> including</w:t>
      </w:r>
      <w:r w:rsidR="00E16CBE" w:rsidRPr="00520C65">
        <w:t xml:space="preserve"> TAG1 operating at small SCSs while TAG2 operating at large SCSs, TAG2 </w:t>
      </w:r>
      <w:r w:rsidR="00546E1E" w:rsidRPr="00520C65">
        <w:t xml:space="preserve">would </w:t>
      </w:r>
      <w:r w:rsidR="00E16CBE" w:rsidRPr="00520C65">
        <w:t xml:space="preserve">requires more frequent TA </w:t>
      </w:r>
      <w:r w:rsidR="00D805C1" w:rsidRPr="00520C65">
        <w:t>update</w:t>
      </w:r>
      <w:r w:rsidR="00E16CBE" w:rsidRPr="00520C65">
        <w:t xml:space="preserve"> than </w:t>
      </w:r>
      <w:r w:rsidR="00D805C1" w:rsidRPr="00520C65">
        <w:t xml:space="preserve">that in </w:t>
      </w:r>
      <w:r w:rsidR="00E16CBE" w:rsidRPr="00520C65">
        <w:t>TAG1</w:t>
      </w:r>
      <w:r w:rsidR="00B6239B">
        <w:t xml:space="preserve">, correspondingly, a lower </w:t>
      </w:r>
      <w:r w:rsidR="00B6239B" w:rsidRPr="009037A3">
        <w:rPr>
          <w:i/>
        </w:rPr>
        <w:t>timeAlignmentTimer</w:t>
      </w:r>
      <w:r w:rsidR="00B6239B">
        <w:t xml:space="preserve"> </w:t>
      </w:r>
      <w:r w:rsidR="00B6239B" w:rsidRPr="00C17349">
        <w:t>value</w:t>
      </w:r>
      <w:r w:rsidR="00B6239B">
        <w:t xml:space="preserve"> is more suitable for TAG2 than that in TAG1.</w:t>
      </w:r>
      <w:r w:rsidR="00E73CDC">
        <w:t xml:space="preserve"> In LTE, it is already possible to configure the setting of </w:t>
      </w:r>
      <w:r w:rsidR="00BE15E9" w:rsidRPr="009037A3">
        <w:rPr>
          <w:i/>
        </w:rPr>
        <w:t>timeAlignmentTimer</w:t>
      </w:r>
      <w:r w:rsidR="00BE15E9">
        <w:t xml:space="preserve"> per TAG </w:t>
      </w:r>
      <w:r w:rsidR="00E73CDC">
        <w:t>via the</w:t>
      </w:r>
      <w:r w:rsidR="00715EB0">
        <w:t xml:space="preserve"> RRC IE</w:t>
      </w:r>
      <w:r w:rsidR="00E73CDC">
        <w:t xml:space="preserve"> </w:t>
      </w:r>
      <w:r w:rsidR="00715EB0" w:rsidRPr="00520C65">
        <w:rPr>
          <w:i/>
          <w:iCs/>
        </w:rPr>
        <w:t>timeAlignmentTimerDedicated</w:t>
      </w:r>
      <w:r w:rsidR="00715EB0">
        <w:rPr>
          <w:i/>
          <w:iCs/>
        </w:rPr>
        <w:t>.</w:t>
      </w:r>
    </w:p>
    <w:p w14:paraId="0F62E74E" w14:textId="23295EE9" w:rsidR="00BE15E9" w:rsidRPr="00520C65" w:rsidRDefault="00996C59" w:rsidP="00BE15E9">
      <w:r>
        <w:t>In LTE</w:t>
      </w:r>
      <w:r>
        <w:rPr>
          <w:rFonts w:cs="Arial"/>
        </w:rPr>
        <w:t>, TA takes values in the range (0-0.67ms with a granularity of 0.52us). For TA value with 0.52us, the corresponding propagation distance between eNB and UE can be calculated as (3x</w:t>
      </w:r>
      <m:oMath>
        <m:sSup>
          <m:sSupPr>
            <m:ctrlPr>
              <w:rPr>
                <w:rFonts w:ascii="Cambria Math" w:hAnsi="Cambria Math" w:cs="Arial"/>
                <w:i/>
                <w:lang w:val="en-US" w:eastAsia="en-US"/>
              </w:rPr>
            </m:ctrlPr>
          </m:sSupPr>
          <m:e>
            <m:r>
              <w:rPr>
                <w:rFonts w:ascii="Cambria Math" w:hAnsi="Cambria Math" w:cs="Arial"/>
              </w:rPr>
              <m:t>10</m:t>
            </m:r>
          </m:e>
          <m:sup>
            <m:r>
              <w:rPr>
                <w:rFonts w:ascii="Cambria Math" w:hAnsi="Cambria Math" w:cs="Arial"/>
              </w:rPr>
              <m:t>8</m:t>
            </m:r>
          </m:sup>
        </m:sSup>
      </m:oMath>
      <w:r>
        <w:rPr>
          <w:rFonts w:cs="Arial"/>
        </w:rPr>
        <w:t xml:space="preserve"> </w:t>
      </w:r>
      <m:oMath>
        <m:r>
          <w:rPr>
            <w:rFonts w:ascii="Cambria Math" w:hAnsi="Cambria Math" w:cs="Arial"/>
          </w:rPr>
          <m:t>×</m:t>
        </m:r>
      </m:oMath>
      <w:r>
        <w:rPr>
          <w:rFonts w:cs="Arial"/>
        </w:rPr>
        <w:t xml:space="preserve">0.52 </w:t>
      </w:r>
      <m:oMath>
        <m:r>
          <w:rPr>
            <w:rFonts w:ascii="Cambria Math" w:hAnsi="Cambria Math" w:cs="Arial"/>
          </w:rPr>
          <m:t>×</m:t>
        </m:r>
        <m:sSup>
          <m:sSupPr>
            <m:ctrlPr>
              <w:rPr>
                <w:rFonts w:ascii="Cambria Math" w:hAnsi="Cambria Math" w:cs="Arial"/>
                <w:i/>
                <w:lang w:val="en-US" w:eastAsia="en-US"/>
              </w:rPr>
            </m:ctrlPr>
          </m:sSupPr>
          <m:e>
            <m:r>
              <w:rPr>
                <w:rFonts w:ascii="Cambria Math" w:hAnsi="Cambria Math" w:cs="Arial"/>
              </w:rPr>
              <m:t>10</m:t>
            </m:r>
          </m:e>
          <m:sup>
            <m:r>
              <w:rPr>
                <w:rFonts w:ascii="Cambria Math" w:hAnsi="Cambria Math" w:cs="Arial"/>
              </w:rPr>
              <m:t>-6</m:t>
            </m:r>
          </m:sup>
        </m:sSup>
      </m:oMath>
      <w:r>
        <w:rPr>
          <w:rFonts w:cs="Arial"/>
        </w:rPr>
        <w:t>)/2 = 78m. While for TA value with 0.67ms, the corresponding propagation distance between eNB and UE can be also calculated as (3x</w:t>
      </w:r>
      <m:oMath>
        <m:sSup>
          <m:sSupPr>
            <m:ctrlPr>
              <w:rPr>
                <w:rFonts w:ascii="Cambria Math" w:hAnsi="Cambria Math" w:cs="Arial"/>
                <w:i/>
                <w:lang w:val="en-US" w:eastAsia="en-US"/>
              </w:rPr>
            </m:ctrlPr>
          </m:sSupPr>
          <m:e>
            <m:r>
              <w:rPr>
                <w:rFonts w:ascii="Cambria Math" w:hAnsi="Cambria Math" w:cs="Arial"/>
              </w:rPr>
              <m:t>10</m:t>
            </m:r>
          </m:e>
          <m:sup>
            <m:r>
              <w:rPr>
                <w:rFonts w:ascii="Cambria Math" w:hAnsi="Cambria Math" w:cs="Arial"/>
              </w:rPr>
              <m:t>8</m:t>
            </m:r>
          </m:sup>
        </m:sSup>
      </m:oMath>
      <w:r>
        <w:rPr>
          <w:rFonts w:cs="Arial"/>
        </w:rPr>
        <w:t xml:space="preserve"> </w:t>
      </w:r>
      <m:oMath>
        <m:r>
          <w:rPr>
            <w:rFonts w:ascii="Cambria Math" w:hAnsi="Cambria Math" w:cs="Arial"/>
          </w:rPr>
          <m:t>×</m:t>
        </m:r>
      </m:oMath>
      <w:r>
        <w:rPr>
          <w:rFonts w:cs="Arial"/>
        </w:rPr>
        <w:t xml:space="preserve">0.67 </w:t>
      </w:r>
      <m:oMath>
        <m:r>
          <w:rPr>
            <w:rFonts w:ascii="Cambria Math" w:hAnsi="Cambria Math" w:cs="Arial"/>
          </w:rPr>
          <m:t>×</m:t>
        </m:r>
        <m:sSup>
          <m:sSupPr>
            <m:ctrlPr>
              <w:rPr>
                <w:rFonts w:ascii="Cambria Math" w:hAnsi="Cambria Math" w:cs="Arial"/>
                <w:i/>
                <w:lang w:val="en-US" w:eastAsia="en-US"/>
              </w:rPr>
            </m:ctrlPr>
          </m:sSupPr>
          <m:e>
            <m:r>
              <w:rPr>
                <w:rFonts w:ascii="Cambria Math" w:hAnsi="Cambria Math" w:cs="Arial"/>
              </w:rPr>
              <m:t>10</m:t>
            </m:r>
          </m:e>
          <m:sup>
            <m:r>
              <w:rPr>
                <w:rFonts w:ascii="Cambria Math" w:hAnsi="Cambria Math" w:cs="Arial"/>
              </w:rPr>
              <m:t>-3</m:t>
            </m:r>
          </m:sup>
        </m:sSup>
      </m:oMath>
      <w:r>
        <w:rPr>
          <w:rFonts w:cs="Arial"/>
        </w:rPr>
        <w:t xml:space="preserve">)/2 = 100 km which is the maximum propagation distance. The maximum distance would facilitate a cell radius of up to 100 km. The granularity of 0.52 us seems not good enough for all supported SCS in NR. </w:t>
      </w:r>
      <w:r>
        <w:t xml:space="preserve">NR supports multiple numerologies with different SCS and correspondingly the CP lengths. For larger SCS, the CP length and the cell size would become smaller. For better TA accuracy, it is beneficial to decrease the maximum TA range and increase the TA </w:t>
      </w:r>
      <w:r w:rsidR="00E73CDC">
        <w:t>resolution</w:t>
      </w:r>
      <w:r>
        <w:t xml:space="preserve">. </w:t>
      </w:r>
      <w:r w:rsidR="00E73CDC">
        <w:t xml:space="preserve">This </w:t>
      </w:r>
      <w:r w:rsidR="00E73CDC">
        <w:lastRenderedPageBreak/>
        <w:t>aspect is being under discussion in RAN4 [1]. If RAN4 decides to introduce different TA resolutions than in LTE upon the change of numerologies for a UE, the setting of TA resolution should be configured per TAG.</w:t>
      </w:r>
    </w:p>
    <w:p w14:paraId="23CB76FF" w14:textId="72F5B1ED" w:rsidR="005F3D62" w:rsidRPr="00B6239B" w:rsidRDefault="00BE15E9" w:rsidP="00E06DFA">
      <w:pPr>
        <w:pStyle w:val="Observation"/>
      </w:pPr>
      <w:bookmarkStart w:id="22" w:name="_Toc490071354"/>
      <w:bookmarkStart w:id="23" w:name="_Toc490124961"/>
      <w:r>
        <w:rPr>
          <w:lang w:eastAsia="ko-KR"/>
        </w:rPr>
        <w:t>If RAN4 decides to introduce different TA resolution than that in LTE upon the change of numerologies, the setting of TA resolution should be configured per TAG</w:t>
      </w:r>
      <w:r w:rsidR="00520C65">
        <w:rPr>
          <w:lang w:eastAsia="ko-KR"/>
        </w:rPr>
        <w:t>.</w:t>
      </w:r>
      <w:bookmarkEnd w:id="22"/>
      <w:bookmarkEnd w:id="23"/>
    </w:p>
    <w:p w14:paraId="10750909" w14:textId="12C07EB9" w:rsidR="00DD4684" w:rsidRDefault="00AE5916" w:rsidP="00520C65">
      <w:pPr>
        <w:pStyle w:val="Proposal"/>
      </w:pPr>
      <w:bookmarkStart w:id="24" w:name="_Toc489457135"/>
      <w:bookmarkStart w:id="25" w:name="_Toc489457170"/>
      <w:bookmarkStart w:id="26" w:name="_Toc489457228"/>
      <w:bookmarkStart w:id="27" w:name="_Toc489457288"/>
      <w:bookmarkStart w:id="28" w:name="_Toc490124970"/>
      <w:r>
        <w:t xml:space="preserve">As like LTE, </w:t>
      </w:r>
      <w:bookmarkEnd w:id="24"/>
      <w:bookmarkEnd w:id="25"/>
      <w:bookmarkEnd w:id="26"/>
      <w:bookmarkEnd w:id="27"/>
      <w:r w:rsidR="00715EB0">
        <w:t xml:space="preserve">the value of </w:t>
      </w:r>
      <w:r w:rsidR="00715EB0" w:rsidRPr="00520C65">
        <w:rPr>
          <w:i/>
        </w:rPr>
        <w:t>timeAlignmentTimer</w:t>
      </w:r>
      <w:r w:rsidR="00715EB0">
        <w:t xml:space="preserve"> </w:t>
      </w:r>
      <w:r>
        <w:t xml:space="preserve">should be configured per </w:t>
      </w:r>
      <w:r w:rsidR="00BE15E9">
        <w:t>TA</w:t>
      </w:r>
      <w:r>
        <w:t>G</w:t>
      </w:r>
      <w:bookmarkEnd w:id="28"/>
      <w:r w:rsidR="00715EB0">
        <w:t xml:space="preserve"> </w:t>
      </w:r>
    </w:p>
    <w:p w14:paraId="046668AD" w14:textId="4480F84B" w:rsidR="00125B17" w:rsidRDefault="007D63BB" w:rsidP="00520C65">
      <w:r>
        <w:t xml:space="preserve"> </w:t>
      </w:r>
      <w:bookmarkStart w:id="29" w:name="_Toc487472297"/>
      <w:bookmarkStart w:id="30" w:name="_Toc487472298"/>
      <w:bookmarkEnd w:id="29"/>
      <w:bookmarkEnd w:id="30"/>
    </w:p>
    <w:p w14:paraId="20727116" w14:textId="77777777" w:rsidR="00C01F33" w:rsidRPr="00CE0424" w:rsidRDefault="00C01F33" w:rsidP="00CE0424">
      <w:pPr>
        <w:pStyle w:val="Heading1"/>
      </w:pPr>
      <w:bookmarkStart w:id="31" w:name="_Toc487029696"/>
      <w:bookmarkEnd w:id="31"/>
      <w:r w:rsidRPr="00CE0424">
        <w:t>Conclusion</w:t>
      </w:r>
    </w:p>
    <w:p w14:paraId="6039BBC4" w14:textId="17BE32A0" w:rsidR="001924F2" w:rsidRPr="00E94F57" w:rsidRDefault="008E065E">
      <w:pPr>
        <w:pStyle w:val="TOC1"/>
        <w:rPr>
          <w:b w:val="0"/>
        </w:rPr>
      </w:pPr>
      <w:r w:rsidRPr="00E94F57">
        <w:rPr>
          <w:b w:val="0"/>
        </w:rPr>
        <w:t xml:space="preserve">In section </w:t>
      </w:r>
      <w:r w:rsidRPr="00E94F57">
        <w:rPr>
          <w:b w:val="0"/>
          <w:highlight w:val="cyan"/>
        </w:rPr>
        <w:fldChar w:fldCharType="begin"/>
      </w:r>
      <w:r w:rsidRPr="00E94F57">
        <w:rPr>
          <w:b w:val="0"/>
        </w:rPr>
        <w:instrText xml:space="preserve"> REF _Ref178064866 \r \h </w:instrText>
      </w:r>
      <w:r w:rsidR="00E94F57">
        <w:rPr>
          <w:b w:val="0"/>
          <w:highlight w:val="cyan"/>
        </w:rPr>
        <w:instrText xml:space="preserve"> \* MERGEFORMAT </w:instrText>
      </w:r>
      <w:r w:rsidRPr="00E94F57">
        <w:rPr>
          <w:b w:val="0"/>
          <w:highlight w:val="cyan"/>
        </w:rPr>
      </w:r>
      <w:r w:rsidRPr="00E94F57">
        <w:rPr>
          <w:b w:val="0"/>
          <w:highlight w:val="cyan"/>
        </w:rPr>
        <w:fldChar w:fldCharType="separate"/>
      </w:r>
      <w:r w:rsidR="00DB6C25" w:rsidRPr="00E94F57">
        <w:rPr>
          <w:b w:val="0"/>
        </w:rPr>
        <w:t>2</w:t>
      </w:r>
      <w:r w:rsidRPr="00E94F57">
        <w:rPr>
          <w:b w:val="0"/>
          <w:highlight w:val="cyan"/>
        </w:rPr>
        <w:fldChar w:fldCharType="end"/>
      </w:r>
      <w:r w:rsidRPr="00E94F57">
        <w:rPr>
          <w:b w:val="0"/>
        </w:rPr>
        <w:t xml:space="preserve"> we made the following observations:</w:t>
      </w:r>
    </w:p>
    <w:p w14:paraId="0C708728" w14:textId="77777777" w:rsidR="00F95ED1" w:rsidRPr="004D541E"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F95ED1">
        <w:t>Observation 1</w:t>
      </w:r>
      <w:r w:rsidR="00F95ED1" w:rsidRPr="004D541E">
        <w:rPr>
          <w:rFonts w:asciiTheme="minorHAnsi" w:eastAsiaTheme="minorEastAsia" w:hAnsiTheme="minorHAnsi" w:cstheme="minorBidi"/>
          <w:b w:val="0"/>
          <w:sz w:val="22"/>
        </w:rPr>
        <w:tab/>
      </w:r>
      <w:r w:rsidR="00F95ED1">
        <w:rPr>
          <w:lang w:eastAsia="ko-KR"/>
        </w:rPr>
        <w:t>Additionally, If RAN2 decides to also apply SPS for secondary cell groups, the UE must also clear relevant resources for data transmission in the sTAG upon expiry of its associated timeAlignmentTimer</w:t>
      </w:r>
    </w:p>
    <w:p w14:paraId="53FDC3E6" w14:textId="50548408" w:rsidR="00F95ED1" w:rsidRPr="004D541E" w:rsidRDefault="00F95ED1">
      <w:pPr>
        <w:pStyle w:val="TOC1"/>
        <w:rPr>
          <w:rFonts w:asciiTheme="minorHAnsi" w:eastAsiaTheme="minorEastAsia" w:hAnsiTheme="minorHAnsi" w:cstheme="minorBidi"/>
          <w:b w:val="0"/>
          <w:sz w:val="22"/>
        </w:rPr>
      </w:pPr>
      <w:r>
        <w:t>Observation 2</w:t>
      </w:r>
      <w:r w:rsidRPr="004D541E">
        <w:rPr>
          <w:rFonts w:asciiTheme="minorHAnsi" w:eastAsiaTheme="minorEastAsia" w:hAnsiTheme="minorHAnsi" w:cstheme="minorBidi"/>
          <w:b w:val="0"/>
          <w:sz w:val="22"/>
        </w:rPr>
        <w:tab/>
      </w:r>
      <w:r>
        <w:rPr>
          <w:lang w:eastAsia="ko-KR"/>
        </w:rPr>
        <w:t>If RAN4 decides to introdue different TA resolution than that in LTE upon the change of numerologies, the setting of TA resolution should be configured per TAG.</w:t>
      </w:r>
    </w:p>
    <w:p w14:paraId="082647C2" w14:textId="57DD7685" w:rsidR="008E065E" w:rsidRDefault="008E065E" w:rsidP="008E065E">
      <w:pPr>
        <w:pStyle w:val="BodyText"/>
        <w:rPr>
          <w:b/>
          <w:bCs/>
        </w:rPr>
      </w:pPr>
      <w:r>
        <w:rPr>
          <w:b/>
          <w:bCs/>
        </w:rPr>
        <w:fldChar w:fldCharType="end"/>
      </w:r>
    </w:p>
    <w:p w14:paraId="6947CC5D" w14:textId="77777777" w:rsidR="000511EF" w:rsidRDefault="008E065E" w:rsidP="008E065E">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B6C25">
        <w:t>2</w:t>
      </w:r>
      <w:r w:rsidRPr="00CE0424">
        <w:rPr>
          <w:highlight w:val="cyan"/>
        </w:rPr>
        <w:fldChar w:fldCharType="end"/>
      </w:r>
      <w:r w:rsidRPr="00CE0424">
        <w:t xml:space="preserve"> we propose the following:</w:t>
      </w:r>
    </w:p>
    <w:sdt>
      <w:sdtPr>
        <w:rPr>
          <w:b w:val="0"/>
          <w:noProof w:val="0"/>
          <w:szCs w:val="20"/>
          <w:lang w:val="en-GB"/>
        </w:rPr>
        <w:id w:val="-1025478736"/>
        <w:docPartObj>
          <w:docPartGallery w:val="Table of Contents"/>
          <w:docPartUnique/>
        </w:docPartObj>
      </w:sdtPr>
      <w:sdtEndPr>
        <w:rPr>
          <w:b/>
        </w:rPr>
      </w:sdtEndPr>
      <w:sdtContent>
        <w:p w14:paraId="340AD926" w14:textId="77777777" w:rsidR="00F95ED1" w:rsidRDefault="00520C65">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0124963" w:history="1">
            <w:r w:rsidR="00F95ED1" w:rsidRPr="002D3534">
              <w:rPr>
                <w:rStyle w:val="Hyperlink"/>
              </w:rPr>
              <w:t>Proposal 1</w:t>
            </w:r>
            <w:r w:rsidR="00F95ED1">
              <w:rPr>
                <w:rFonts w:asciiTheme="minorHAnsi" w:eastAsiaTheme="minorEastAsia" w:hAnsiTheme="minorHAnsi" w:cstheme="minorBidi"/>
                <w:b w:val="0"/>
                <w:sz w:val="22"/>
                <w:lang w:val="sv-SE"/>
              </w:rPr>
              <w:tab/>
            </w:r>
            <w:r w:rsidR="00F95ED1" w:rsidRPr="002D3534">
              <w:rPr>
                <w:rStyle w:val="Hyperlink"/>
              </w:rPr>
              <w:t>Same as LTE, up to 4 TAGs are supported for NR</w:t>
            </w:r>
          </w:hyperlink>
        </w:p>
        <w:p w14:paraId="1F3965D1" w14:textId="662F3EC4" w:rsidR="00F95ED1" w:rsidRDefault="0080298C">
          <w:pPr>
            <w:pStyle w:val="TOC1"/>
            <w:rPr>
              <w:rFonts w:asciiTheme="minorHAnsi" w:eastAsiaTheme="minorEastAsia" w:hAnsiTheme="minorHAnsi" w:cstheme="minorBidi"/>
              <w:b w:val="0"/>
              <w:sz w:val="22"/>
              <w:lang w:val="sv-SE"/>
            </w:rPr>
          </w:pPr>
          <w:hyperlink w:anchor="_Toc490124964" w:history="1">
            <w:r w:rsidR="00F95ED1" w:rsidRPr="002D3534">
              <w:rPr>
                <w:rStyle w:val="Hyperlink"/>
              </w:rPr>
              <w:t>Proposal 2</w:t>
            </w:r>
            <w:r w:rsidR="00F95ED1">
              <w:rPr>
                <w:rFonts w:asciiTheme="minorHAnsi" w:eastAsiaTheme="minorEastAsia" w:hAnsiTheme="minorHAnsi" w:cstheme="minorBidi"/>
                <w:b w:val="0"/>
                <w:sz w:val="22"/>
                <w:lang w:val="sv-SE"/>
              </w:rPr>
              <w:tab/>
            </w:r>
            <w:r w:rsidR="00F95ED1" w:rsidRPr="002D3534">
              <w:rPr>
                <w:rStyle w:val="Hyperlink"/>
              </w:rPr>
              <w:t>The BWPs belongig to the same serving cell are included in the same TAG.</w:t>
            </w:r>
          </w:hyperlink>
        </w:p>
        <w:p w14:paraId="7803C2B0" w14:textId="77777777" w:rsidR="00F95ED1" w:rsidRDefault="0080298C">
          <w:pPr>
            <w:pStyle w:val="TOC1"/>
            <w:rPr>
              <w:rFonts w:asciiTheme="minorHAnsi" w:eastAsiaTheme="minorEastAsia" w:hAnsiTheme="minorHAnsi" w:cstheme="minorBidi"/>
              <w:b w:val="0"/>
              <w:sz w:val="22"/>
              <w:lang w:val="sv-SE"/>
            </w:rPr>
          </w:pPr>
          <w:hyperlink w:anchor="_Toc490124965" w:history="1">
            <w:r w:rsidR="00F95ED1" w:rsidRPr="002D3534">
              <w:rPr>
                <w:rStyle w:val="Hyperlink"/>
              </w:rPr>
              <w:t>Proposal 3</w:t>
            </w:r>
            <w:r w:rsidR="00F95ED1">
              <w:rPr>
                <w:rFonts w:asciiTheme="minorHAnsi" w:eastAsiaTheme="minorEastAsia" w:hAnsiTheme="minorHAnsi" w:cstheme="minorBidi"/>
                <w:b w:val="0"/>
                <w:sz w:val="22"/>
                <w:lang w:val="sv-SE"/>
              </w:rPr>
              <w:tab/>
            </w:r>
            <w:r w:rsidR="00F95ED1" w:rsidRPr="002D3534">
              <w:rPr>
                <w:rStyle w:val="Hyperlink"/>
              </w:rPr>
              <w:t>Similar as LTE, the setting of the timeAlignmentTimer can be configured by means including</w:t>
            </w:r>
          </w:hyperlink>
        </w:p>
        <w:p w14:paraId="4350C9E1" w14:textId="77777777" w:rsidR="00F95ED1" w:rsidRDefault="0080298C">
          <w:pPr>
            <w:pStyle w:val="TOC1"/>
            <w:rPr>
              <w:rFonts w:asciiTheme="minorHAnsi" w:eastAsiaTheme="minorEastAsia" w:hAnsiTheme="minorHAnsi" w:cstheme="minorBidi"/>
              <w:b w:val="0"/>
              <w:sz w:val="22"/>
              <w:lang w:val="sv-SE"/>
            </w:rPr>
          </w:pPr>
          <w:hyperlink w:anchor="_Toc490124966" w:history="1">
            <w:r w:rsidR="00F95ED1" w:rsidRPr="002D3534">
              <w:rPr>
                <w:rStyle w:val="Hyperlink"/>
              </w:rPr>
              <w:t>a.</w:t>
            </w:r>
            <w:r w:rsidR="00F95ED1">
              <w:rPr>
                <w:rFonts w:asciiTheme="minorHAnsi" w:eastAsiaTheme="minorEastAsia" w:hAnsiTheme="minorHAnsi" w:cstheme="minorBidi"/>
                <w:b w:val="0"/>
                <w:sz w:val="22"/>
                <w:lang w:val="sv-SE"/>
              </w:rPr>
              <w:tab/>
            </w:r>
            <w:r w:rsidR="00F95ED1" w:rsidRPr="002D3534">
              <w:rPr>
                <w:rStyle w:val="Hyperlink"/>
              </w:rPr>
              <w:t>Cell specific configuration conveyed via system information</w:t>
            </w:r>
          </w:hyperlink>
        </w:p>
        <w:p w14:paraId="0D5DA4F8" w14:textId="77777777" w:rsidR="00F95ED1" w:rsidRDefault="0080298C">
          <w:pPr>
            <w:pStyle w:val="TOC1"/>
            <w:rPr>
              <w:rFonts w:asciiTheme="minorHAnsi" w:eastAsiaTheme="minorEastAsia" w:hAnsiTheme="minorHAnsi" w:cstheme="minorBidi"/>
              <w:b w:val="0"/>
              <w:sz w:val="22"/>
              <w:lang w:val="sv-SE"/>
            </w:rPr>
          </w:pPr>
          <w:hyperlink w:anchor="_Toc490124967" w:history="1">
            <w:r w:rsidR="00F95ED1" w:rsidRPr="002D3534">
              <w:rPr>
                <w:rStyle w:val="Hyperlink"/>
              </w:rPr>
              <w:t>b.</w:t>
            </w:r>
            <w:r w:rsidR="00F95ED1">
              <w:rPr>
                <w:rFonts w:asciiTheme="minorHAnsi" w:eastAsiaTheme="minorEastAsia" w:hAnsiTheme="minorHAnsi" w:cstheme="minorBidi"/>
                <w:b w:val="0"/>
                <w:sz w:val="22"/>
                <w:lang w:val="sv-SE"/>
              </w:rPr>
              <w:tab/>
            </w:r>
            <w:r w:rsidR="00F95ED1" w:rsidRPr="002D3534">
              <w:rPr>
                <w:rStyle w:val="Hyperlink"/>
              </w:rPr>
              <w:t>UE specific configuration conveyed via UE dedicated RRC signalling</w:t>
            </w:r>
          </w:hyperlink>
        </w:p>
        <w:p w14:paraId="5C8E649B" w14:textId="77777777" w:rsidR="00F95ED1" w:rsidRDefault="0080298C">
          <w:pPr>
            <w:pStyle w:val="TOC1"/>
            <w:rPr>
              <w:rFonts w:asciiTheme="minorHAnsi" w:eastAsiaTheme="minorEastAsia" w:hAnsiTheme="minorHAnsi" w:cstheme="minorBidi"/>
              <w:b w:val="0"/>
              <w:sz w:val="22"/>
              <w:lang w:val="sv-SE"/>
            </w:rPr>
          </w:pPr>
          <w:hyperlink w:anchor="_Toc490124968" w:history="1">
            <w:r w:rsidR="00F95ED1" w:rsidRPr="002D3534">
              <w:rPr>
                <w:rStyle w:val="Hyperlink"/>
              </w:rPr>
              <w:t>Proposal 4</w:t>
            </w:r>
            <w:r w:rsidR="00F95ED1">
              <w:rPr>
                <w:rFonts w:asciiTheme="minorHAnsi" w:eastAsiaTheme="minorEastAsia" w:hAnsiTheme="minorHAnsi" w:cstheme="minorBidi"/>
                <w:b w:val="0"/>
                <w:sz w:val="22"/>
                <w:lang w:val="sv-SE"/>
              </w:rPr>
              <w:tab/>
            </w:r>
            <w:r w:rsidR="00F95ED1" w:rsidRPr="002D3534">
              <w:rPr>
                <w:rStyle w:val="Hyperlink"/>
              </w:rPr>
              <w:t xml:space="preserve">The UE actions upon expiry of a </w:t>
            </w:r>
            <w:r w:rsidR="00F95ED1" w:rsidRPr="002D3534">
              <w:rPr>
                <w:rStyle w:val="Hyperlink"/>
                <w:i/>
              </w:rPr>
              <w:t>timeAlignmentTimer</w:t>
            </w:r>
            <w:r w:rsidR="00F95ED1" w:rsidRPr="002D3534">
              <w:rPr>
                <w:rStyle w:val="Hyperlink"/>
              </w:rPr>
              <w:t xml:space="preserve"> in LTE is applied as the baseline for NR</w:t>
            </w:r>
          </w:hyperlink>
        </w:p>
        <w:p w14:paraId="5DB67615" w14:textId="77777777" w:rsidR="00F95ED1" w:rsidRDefault="0080298C">
          <w:pPr>
            <w:pStyle w:val="TOC1"/>
            <w:rPr>
              <w:rFonts w:asciiTheme="minorHAnsi" w:eastAsiaTheme="minorEastAsia" w:hAnsiTheme="minorHAnsi" w:cstheme="minorBidi"/>
              <w:b w:val="0"/>
              <w:sz w:val="22"/>
              <w:lang w:val="sv-SE"/>
            </w:rPr>
          </w:pPr>
          <w:hyperlink w:anchor="_Toc490124969" w:history="1">
            <w:r w:rsidR="00F95ED1" w:rsidRPr="002D3534">
              <w:rPr>
                <w:rStyle w:val="Hyperlink"/>
              </w:rPr>
              <w:t>Proposal 5</w:t>
            </w:r>
            <w:r w:rsidR="00F95ED1">
              <w:rPr>
                <w:rFonts w:asciiTheme="minorHAnsi" w:eastAsiaTheme="minorEastAsia" w:hAnsiTheme="minorHAnsi" w:cstheme="minorBidi"/>
                <w:b w:val="0"/>
                <w:sz w:val="22"/>
                <w:lang w:val="sv-SE"/>
              </w:rPr>
              <w:tab/>
            </w:r>
            <w:r w:rsidR="00F95ED1" w:rsidRPr="002D3534">
              <w:rPr>
                <w:rStyle w:val="Hyperlink"/>
              </w:rPr>
              <w:t xml:space="preserve">As in LTE, the </w:t>
            </w:r>
            <w:r w:rsidR="00F95ED1" w:rsidRPr="002D3534">
              <w:rPr>
                <w:rStyle w:val="Hyperlink"/>
                <w:i/>
              </w:rPr>
              <w:t xml:space="preserve">timeAlignmentTimer </w:t>
            </w:r>
            <w:r w:rsidR="00F95ED1" w:rsidRPr="002D3534">
              <w:rPr>
                <w:rStyle w:val="Hyperlink"/>
              </w:rPr>
              <w:t>is configured in milliseconds, values are FFS.</w:t>
            </w:r>
          </w:hyperlink>
        </w:p>
        <w:p w14:paraId="3BDCF36C" w14:textId="77777777" w:rsidR="00F95ED1" w:rsidRDefault="0080298C">
          <w:pPr>
            <w:pStyle w:val="TOC1"/>
            <w:rPr>
              <w:rFonts w:asciiTheme="minorHAnsi" w:eastAsiaTheme="minorEastAsia" w:hAnsiTheme="minorHAnsi" w:cstheme="minorBidi"/>
              <w:b w:val="0"/>
              <w:sz w:val="22"/>
              <w:lang w:val="sv-SE"/>
            </w:rPr>
          </w:pPr>
          <w:hyperlink w:anchor="_Toc490124970" w:history="1">
            <w:r w:rsidR="00F95ED1" w:rsidRPr="002D3534">
              <w:rPr>
                <w:rStyle w:val="Hyperlink"/>
              </w:rPr>
              <w:t>Proposal 6</w:t>
            </w:r>
            <w:r w:rsidR="00F95ED1">
              <w:rPr>
                <w:rFonts w:asciiTheme="minorHAnsi" w:eastAsiaTheme="minorEastAsia" w:hAnsiTheme="minorHAnsi" w:cstheme="minorBidi"/>
                <w:b w:val="0"/>
                <w:sz w:val="22"/>
                <w:lang w:val="sv-SE"/>
              </w:rPr>
              <w:tab/>
            </w:r>
            <w:r w:rsidR="00F95ED1" w:rsidRPr="002D3534">
              <w:rPr>
                <w:rStyle w:val="Hyperlink"/>
              </w:rPr>
              <w:t xml:space="preserve">As like LTE, the value of </w:t>
            </w:r>
            <w:r w:rsidR="00F95ED1" w:rsidRPr="002D3534">
              <w:rPr>
                <w:rStyle w:val="Hyperlink"/>
                <w:i/>
              </w:rPr>
              <w:t>timeAlignmentTimer</w:t>
            </w:r>
            <w:r w:rsidR="00F95ED1" w:rsidRPr="002D3534">
              <w:rPr>
                <w:rStyle w:val="Hyperlink"/>
              </w:rPr>
              <w:t xml:space="preserve"> should be configured per TAG</w:t>
            </w:r>
          </w:hyperlink>
        </w:p>
        <w:p w14:paraId="1B47365D" w14:textId="453FB468" w:rsidR="00520C65" w:rsidRDefault="00520C65" w:rsidP="008E065E">
          <w:r>
            <w:rPr>
              <w:b/>
            </w:rPr>
            <w:fldChar w:fldCharType="end"/>
          </w:r>
        </w:p>
      </w:sdtContent>
    </w:sdt>
    <w:p w14:paraId="00CC5D7F" w14:textId="551EC0E0" w:rsidR="008E065E" w:rsidRPr="00CE0424" w:rsidRDefault="008E065E" w:rsidP="008E065E">
      <w:pPr>
        <w:rPr>
          <w:b/>
          <w:bCs/>
        </w:rPr>
      </w:pPr>
    </w:p>
    <w:p w14:paraId="1C5F808C" w14:textId="77777777" w:rsidR="00F507D1" w:rsidRPr="00CE0424" w:rsidRDefault="00F507D1" w:rsidP="00CE0424">
      <w:pPr>
        <w:pStyle w:val="Heading1"/>
      </w:pPr>
      <w:bookmarkStart w:id="32" w:name="_In-sequence_SDU_delivery"/>
      <w:bookmarkEnd w:id="32"/>
      <w:r w:rsidRPr="00CE0424">
        <w:t>References</w:t>
      </w:r>
    </w:p>
    <w:p w14:paraId="59E87385" w14:textId="7A4E022C" w:rsidR="0071574A" w:rsidRDefault="0071574A" w:rsidP="0071574A">
      <w:pPr>
        <w:pStyle w:val="Reference"/>
        <w:overflowPunct/>
        <w:autoSpaceDE/>
        <w:autoSpaceDN/>
        <w:adjustRightInd/>
        <w:spacing w:after="200" w:line="276" w:lineRule="auto"/>
        <w:jc w:val="left"/>
        <w:textAlignment w:val="auto"/>
        <w:rPr>
          <w:rFonts w:cs="Arial"/>
        </w:rPr>
      </w:pPr>
      <w:r w:rsidRPr="001900E3">
        <w:rPr>
          <w:rFonts w:cs="Arial"/>
        </w:rPr>
        <w:t>R</w:t>
      </w:r>
      <w:r>
        <w:rPr>
          <w:rFonts w:cs="Arial"/>
        </w:rPr>
        <w:t>4</w:t>
      </w:r>
      <w:r w:rsidRPr="001900E3">
        <w:rPr>
          <w:rFonts w:cs="Arial"/>
        </w:rPr>
        <w:t>-</w:t>
      </w:r>
      <w:r w:rsidRPr="00520C65">
        <w:rPr>
          <w:noProof/>
        </w:rPr>
        <w:t>1706716</w:t>
      </w:r>
      <w:r w:rsidRPr="001900E3">
        <w:t>,</w:t>
      </w:r>
      <w:r>
        <w:t xml:space="preserve"> R</w:t>
      </w:r>
      <w:r w:rsidRPr="005C360E">
        <w:t>equirements for NR UE timing advance</w:t>
      </w:r>
      <w:r>
        <w:t xml:space="preserve"> Ericsson</w:t>
      </w:r>
      <w:r>
        <w:rPr>
          <w:rFonts w:cs="Arial"/>
        </w:rPr>
        <w:t>.</w:t>
      </w:r>
    </w:p>
    <w:p w14:paraId="766CC4C7"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FCA7C" w14:textId="77777777" w:rsidR="0080298C" w:rsidRDefault="0080298C">
      <w:r>
        <w:separator/>
      </w:r>
    </w:p>
  </w:endnote>
  <w:endnote w:type="continuationSeparator" w:id="0">
    <w:p w14:paraId="6CFB9C1A" w14:textId="77777777" w:rsidR="0080298C" w:rsidRDefault="0080298C">
      <w:r>
        <w:continuationSeparator/>
      </w:r>
    </w:p>
  </w:endnote>
  <w:endnote w:type="continuationNotice" w:id="1">
    <w:p w14:paraId="2A707A16" w14:textId="77777777" w:rsidR="0080298C" w:rsidRDefault="00802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93FA69" w14:textId="77777777" w:rsidR="0080298C" w:rsidRDefault="0080298C">
      <w:r>
        <w:separator/>
      </w:r>
    </w:p>
  </w:footnote>
  <w:footnote w:type="continuationSeparator" w:id="0">
    <w:p w14:paraId="74F6B67A" w14:textId="77777777" w:rsidR="0080298C" w:rsidRDefault="0080298C">
      <w:r>
        <w:continuationSeparator/>
      </w:r>
    </w:p>
  </w:footnote>
  <w:footnote w:type="continuationNotice" w:id="1">
    <w:p w14:paraId="5C2D2C6D" w14:textId="77777777" w:rsidR="0080298C" w:rsidRDefault="008029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E3496"/>
    <w:multiLevelType w:val="multilevel"/>
    <w:tmpl w:val="5AC46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086381"/>
    <w:multiLevelType w:val="hybridMultilevel"/>
    <w:tmpl w:val="542455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8DC75DE"/>
    <w:multiLevelType w:val="hybridMultilevel"/>
    <w:tmpl w:val="18C2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77E10"/>
    <w:multiLevelType w:val="hybridMultilevel"/>
    <w:tmpl w:val="42B821E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AC7023"/>
    <w:multiLevelType w:val="hybridMultilevel"/>
    <w:tmpl w:val="9ED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9"/>
  </w:num>
  <w:num w:numId="3">
    <w:abstractNumId w:val="12"/>
  </w:num>
  <w:num w:numId="4">
    <w:abstractNumId w:val="13"/>
  </w:num>
  <w:num w:numId="5">
    <w:abstractNumId w:val="9"/>
  </w:num>
  <w:num w:numId="6">
    <w:abstractNumId w:val="15"/>
  </w:num>
  <w:num w:numId="7">
    <w:abstractNumId w:val="23"/>
  </w:num>
  <w:num w:numId="8">
    <w:abstractNumId w:val="10"/>
  </w:num>
  <w:num w:numId="9">
    <w:abstractNumId w:val="8"/>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6"/>
  </w:num>
  <w:num w:numId="17">
    <w:abstractNumId w:val="14"/>
  </w:num>
  <w:num w:numId="18">
    <w:abstractNumId w:val="5"/>
  </w:num>
  <w:num w:numId="19">
    <w:abstractNumId w:val="26"/>
  </w:num>
  <w:num w:numId="20">
    <w:abstractNumId w:val="7"/>
  </w:num>
  <w:num w:numId="21">
    <w:abstractNumId w:val="18"/>
  </w:num>
  <w:num w:numId="22">
    <w:abstractNumId w:val="20"/>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2"/>
  </w:num>
  <w:num w:numId="26">
    <w:abstractNumId w:val="17"/>
  </w:num>
  <w:num w:numId="27">
    <w:abstractNumId w:val="12"/>
  </w:num>
  <w:num w:numId="28">
    <w:abstractNumId w:val="12"/>
  </w:num>
  <w:num w:numId="29">
    <w:abstractNumId w:val="21"/>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6"/>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C25"/>
    <w:rsid w:val="000006E1"/>
    <w:rsid w:val="00002A37"/>
    <w:rsid w:val="000039F4"/>
    <w:rsid w:val="00006446"/>
    <w:rsid w:val="00006896"/>
    <w:rsid w:val="00007CDC"/>
    <w:rsid w:val="0001078D"/>
    <w:rsid w:val="00011B28"/>
    <w:rsid w:val="00011D70"/>
    <w:rsid w:val="00015D15"/>
    <w:rsid w:val="00020607"/>
    <w:rsid w:val="00021B19"/>
    <w:rsid w:val="000243A2"/>
    <w:rsid w:val="0002564D"/>
    <w:rsid w:val="00025ECA"/>
    <w:rsid w:val="000325B8"/>
    <w:rsid w:val="00034C15"/>
    <w:rsid w:val="00036BA1"/>
    <w:rsid w:val="00040957"/>
    <w:rsid w:val="00042186"/>
    <w:rsid w:val="000422E2"/>
    <w:rsid w:val="00042F22"/>
    <w:rsid w:val="000432FE"/>
    <w:rsid w:val="000444EF"/>
    <w:rsid w:val="000511EF"/>
    <w:rsid w:val="00052101"/>
    <w:rsid w:val="00052A07"/>
    <w:rsid w:val="000534E3"/>
    <w:rsid w:val="0005606A"/>
    <w:rsid w:val="00057117"/>
    <w:rsid w:val="000616E7"/>
    <w:rsid w:val="0006487E"/>
    <w:rsid w:val="00065E1A"/>
    <w:rsid w:val="0007037A"/>
    <w:rsid w:val="000729D0"/>
    <w:rsid w:val="00077E5F"/>
    <w:rsid w:val="0008036A"/>
    <w:rsid w:val="00081AE6"/>
    <w:rsid w:val="000855EB"/>
    <w:rsid w:val="00085B52"/>
    <w:rsid w:val="00085D1D"/>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1DA7"/>
    <w:rsid w:val="000C2E19"/>
    <w:rsid w:val="000C4BEE"/>
    <w:rsid w:val="000D0D07"/>
    <w:rsid w:val="000D3105"/>
    <w:rsid w:val="000D4797"/>
    <w:rsid w:val="000D5D19"/>
    <w:rsid w:val="000E01B7"/>
    <w:rsid w:val="000E0527"/>
    <w:rsid w:val="000E1E92"/>
    <w:rsid w:val="000F06D6"/>
    <w:rsid w:val="000F0EB1"/>
    <w:rsid w:val="000F1106"/>
    <w:rsid w:val="000F3BE9"/>
    <w:rsid w:val="000F3F6C"/>
    <w:rsid w:val="000F6DF3"/>
    <w:rsid w:val="001005FF"/>
    <w:rsid w:val="00103565"/>
    <w:rsid w:val="001062FB"/>
    <w:rsid w:val="001063E6"/>
    <w:rsid w:val="0011164C"/>
    <w:rsid w:val="00113CF4"/>
    <w:rsid w:val="001153EA"/>
    <w:rsid w:val="00115643"/>
    <w:rsid w:val="00116765"/>
    <w:rsid w:val="001219F5"/>
    <w:rsid w:val="00121A20"/>
    <w:rsid w:val="0012377F"/>
    <w:rsid w:val="00124314"/>
    <w:rsid w:val="00125B17"/>
    <w:rsid w:val="00126B4A"/>
    <w:rsid w:val="00132FD0"/>
    <w:rsid w:val="001344C0"/>
    <w:rsid w:val="001346FA"/>
    <w:rsid w:val="00135252"/>
    <w:rsid w:val="00137AB5"/>
    <w:rsid w:val="00137F0B"/>
    <w:rsid w:val="00151E23"/>
    <w:rsid w:val="001526E0"/>
    <w:rsid w:val="00152C22"/>
    <w:rsid w:val="001551B5"/>
    <w:rsid w:val="0016445B"/>
    <w:rsid w:val="001659C1"/>
    <w:rsid w:val="0016740A"/>
    <w:rsid w:val="00173A8E"/>
    <w:rsid w:val="0017515B"/>
    <w:rsid w:val="00177795"/>
    <w:rsid w:val="0018143F"/>
    <w:rsid w:val="0018145E"/>
    <w:rsid w:val="00190AC1"/>
    <w:rsid w:val="001924F2"/>
    <w:rsid w:val="00192AEB"/>
    <w:rsid w:val="0019341A"/>
    <w:rsid w:val="001948BC"/>
    <w:rsid w:val="00197DF9"/>
    <w:rsid w:val="001A1987"/>
    <w:rsid w:val="001A2564"/>
    <w:rsid w:val="001A3024"/>
    <w:rsid w:val="001A6173"/>
    <w:rsid w:val="001A6592"/>
    <w:rsid w:val="001A6A9A"/>
    <w:rsid w:val="001A6CBA"/>
    <w:rsid w:val="001B0496"/>
    <w:rsid w:val="001B0D97"/>
    <w:rsid w:val="001B5A5D"/>
    <w:rsid w:val="001C1CE5"/>
    <w:rsid w:val="001C2F83"/>
    <w:rsid w:val="001C3534"/>
    <w:rsid w:val="001C3D2A"/>
    <w:rsid w:val="001D4472"/>
    <w:rsid w:val="001D51BA"/>
    <w:rsid w:val="001D6342"/>
    <w:rsid w:val="001D6D53"/>
    <w:rsid w:val="001D73B6"/>
    <w:rsid w:val="001E58E2"/>
    <w:rsid w:val="001E727E"/>
    <w:rsid w:val="001E7AED"/>
    <w:rsid w:val="001F3916"/>
    <w:rsid w:val="001F54C5"/>
    <w:rsid w:val="001F662C"/>
    <w:rsid w:val="001F7074"/>
    <w:rsid w:val="00200490"/>
    <w:rsid w:val="00201F3A"/>
    <w:rsid w:val="00203C84"/>
    <w:rsid w:val="00203F96"/>
    <w:rsid w:val="002069B2"/>
    <w:rsid w:val="002070B1"/>
    <w:rsid w:val="00207FA3"/>
    <w:rsid w:val="00214DA8"/>
    <w:rsid w:val="00215423"/>
    <w:rsid w:val="002158FA"/>
    <w:rsid w:val="002167F3"/>
    <w:rsid w:val="00220061"/>
    <w:rsid w:val="00220600"/>
    <w:rsid w:val="002224DB"/>
    <w:rsid w:val="00223432"/>
    <w:rsid w:val="00223FCB"/>
    <w:rsid w:val="002252C3"/>
    <w:rsid w:val="00225C54"/>
    <w:rsid w:val="00227066"/>
    <w:rsid w:val="00230765"/>
    <w:rsid w:val="002319E4"/>
    <w:rsid w:val="00235632"/>
    <w:rsid w:val="00235872"/>
    <w:rsid w:val="00240C2A"/>
    <w:rsid w:val="00241559"/>
    <w:rsid w:val="00241F42"/>
    <w:rsid w:val="002431D9"/>
    <w:rsid w:val="002435B3"/>
    <w:rsid w:val="0024555B"/>
    <w:rsid w:val="002458EB"/>
    <w:rsid w:val="002500C8"/>
    <w:rsid w:val="00251B45"/>
    <w:rsid w:val="00256492"/>
    <w:rsid w:val="00257543"/>
    <w:rsid w:val="002617E7"/>
    <w:rsid w:val="002637D5"/>
    <w:rsid w:val="00264228"/>
    <w:rsid w:val="00264334"/>
    <w:rsid w:val="0026473E"/>
    <w:rsid w:val="00264FD0"/>
    <w:rsid w:val="00266214"/>
    <w:rsid w:val="00267C83"/>
    <w:rsid w:val="00270853"/>
    <w:rsid w:val="0027144F"/>
    <w:rsid w:val="00271F3A"/>
    <w:rsid w:val="00273278"/>
    <w:rsid w:val="002737F4"/>
    <w:rsid w:val="002805F5"/>
    <w:rsid w:val="00280751"/>
    <w:rsid w:val="0028280A"/>
    <w:rsid w:val="00286ACD"/>
    <w:rsid w:val="002875D6"/>
    <w:rsid w:val="00287838"/>
    <w:rsid w:val="002907B5"/>
    <w:rsid w:val="00292EB7"/>
    <w:rsid w:val="00296227"/>
    <w:rsid w:val="00296F44"/>
    <w:rsid w:val="0029777D"/>
    <w:rsid w:val="002A055E"/>
    <w:rsid w:val="002A1595"/>
    <w:rsid w:val="002A1D4E"/>
    <w:rsid w:val="002A2869"/>
    <w:rsid w:val="002A5CE8"/>
    <w:rsid w:val="002A7AFD"/>
    <w:rsid w:val="002B24D6"/>
    <w:rsid w:val="002B7151"/>
    <w:rsid w:val="002B76F7"/>
    <w:rsid w:val="002C41E6"/>
    <w:rsid w:val="002D06A2"/>
    <w:rsid w:val="002D071A"/>
    <w:rsid w:val="002D34B2"/>
    <w:rsid w:val="002D7637"/>
    <w:rsid w:val="002E17F2"/>
    <w:rsid w:val="002E55A7"/>
    <w:rsid w:val="002E7CAE"/>
    <w:rsid w:val="002F1502"/>
    <w:rsid w:val="002F1E18"/>
    <w:rsid w:val="002F2771"/>
    <w:rsid w:val="002F37A9"/>
    <w:rsid w:val="002F518C"/>
    <w:rsid w:val="002F5696"/>
    <w:rsid w:val="00301005"/>
    <w:rsid w:val="00301CE6"/>
    <w:rsid w:val="0030256B"/>
    <w:rsid w:val="0030501F"/>
    <w:rsid w:val="00307220"/>
    <w:rsid w:val="00307BA1"/>
    <w:rsid w:val="00307DCB"/>
    <w:rsid w:val="00310C5C"/>
    <w:rsid w:val="00311702"/>
    <w:rsid w:val="00311E82"/>
    <w:rsid w:val="00313FD6"/>
    <w:rsid w:val="003143BD"/>
    <w:rsid w:val="003203ED"/>
    <w:rsid w:val="003213D4"/>
    <w:rsid w:val="00322C9F"/>
    <w:rsid w:val="00324D23"/>
    <w:rsid w:val="00331751"/>
    <w:rsid w:val="00334579"/>
    <w:rsid w:val="00335858"/>
    <w:rsid w:val="00336BDA"/>
    <w:rsid w:val="00342BD7"/>
    <w:rsid w:val="00343A07"/>
    <w:rsid w:val="00346DB5"/>
    <w:rsid w:val="003477B1"/>
    <w:rsid w:val="003477F9"/>
    <w:rsid w:val="00347A6A"/>
    <w:rsid w:val="0035491B"/>
    <w:rsid w:val="00354F33"/>
    <w:rsid w:val="003556F2"/>
    <w:rsid w:val="00357380"/>
    <w:rsid w:val="003602D9"/>
    <w:rsid w:val="003604CE"/>
    <w:rsid w:val="00364F9C"/>
    <w:rsid w:val="00370E47"/>
    <w:rsid w:val="003742AC"/>
    <w:rsid w:val="00377CE1"/>
    <w:rsid w:val="00383419"/>
    <w:rsid w:val="00385BF0"/>
    <w:rsid w:val="003860AA"/>
    <w:rsid w:val="00392F75"/>
    <w:rsid w:val="003939FF"/>
    <w:rsid w:val="00394E38"/>
    <w:rsid w:val="003968C6"/>
    <w:rsid w:val="00396920"/>
    <w:rsid w:val="00397E1B"/>
    <w:rsid w:val="003A2223"/>
    <w:rsid w:val="003A2A0F"/>
    <w:rsid w:val="003A37A9"/>
    <w:rsid w:val="003A45A1"/>
    <w:rsid w:val="003A5B0A"/>
    <w:rsid w:val="003A6BAC"/>
    <w:rsid w:val="003A7EF3"/>
    <w:rsid w:val="003B159C"/>
    <w:rsid w:val="003B2CC9"/>
    <w:rsid w:val="003B369F"/>
    <w:rsid w:val="003B36A3"/>
    <w:rsid w:val="003B39E5"/>
    <w:rsid w:val="003B460B"/>
    <w:rsid w:val="003B6160"/>
    <w:rsid w:val="003B7FE5"/>
    <w:rsid w:val="003C0B95"/>
    <w:rsid w:val="003C11C8"/>
    <w:rsid w:val="003C2702"/>
    <w:rsid w:val="003C7806"/>
    <w:rsid w:val="003D109F"/>
    <w:rsid w:val="003D1A4A"/>
    <w:rsid w:val="003D2478"/>
    <w:rsid w:val="003D3C45"/>
    <w:rsid w:val="003D5B1F"/>
    <w:rsid w:val="003E15FA"/>
    <w:rsid w:val="003E2C48"/>
    <w:rsid w:val="003E553D"/>
    <w:rsid w:val="003E55E4"/>
    <w:rsid w:val="003E74E3"/>
    <w:rsid w:val="003F01EA"/>
    <w:rsid w:val="003F05C7"/>
    <w:rsid w:val="003F2CD4"/>
    <w:rsid w:val="003F30CB"/>
    <w:rsid w:val="003F6BBE"/>
    <w:rsid w:val="003F6E26"/>
    <w:rsid w:val="004000E8"/>
    <w:rsid w:val="00402E2B"/>
    <w:rsid w:val="0040512B"/>
    <w:rsid w:val="00405CA5"/>
    <w:rsid w:val="00406708"/>
    <w:rsid w:val="00407CD3"/>
    <w:rsid w:val="00410134"/>
    <w:rsid w:val="00410B72"/>
    <w:rsid w:val="00410F18"/>
    <w:rsid w:val="0041263E"/>
    <w:rsid w:val="00413AAC"/>
    <w:rsid w:val="00414B36"/>
    <w:rsid w:val="0041774A"/>
    <w:rsid w:val="00421105"/>
    <w:rsid w:val="004242F4"/>
    <w:rsid w:val="00424B74"/>
    <w:rsid w:val="00427248"/>
    <w:rsid w:val="00432E6A"/>
    <w:rsid w:val="00433F14"/>
    <w:rsid w:val="00435DB2"/>
    <w:rsid w:val="00437447"/>
    <w:rsid w:val="00441A92"/>
    <w:rsid w:val="00444F56"/>
    <w:rsid w:val="00446488"/>
    <w:rsid w:val="004517AA"/>
    <w:rsid w:val="00452CAC"/>
    <w:rsid w:val="00455E32"/>
    <w:rsid w:val="0045626A"/>
    <w:rsid w:val="00457565"/>
    <w:rsid w:val="00457B71"/>
    <w:rsid w:val="004626FF"/>
    <w:rsid w:val="004669E2"/>
    <w:rsid w:val="00470C31"/>
    <w:rsid w:val="00471763"/>
    <w:rsid w:val="00472343"/>
    <w:rsid w:val="004734D0"/>
    <w:rsid w:val="0047556B"/>
    <w:rsid w:val="0047758D"/>
    <w:rsid w:val="00477768"/>
    <w:rsid w:val="00480A84"/>
    <w:rsid w:val="00480FDF"/>
    <w:rsid w:val="004847D8"/>
    <w:rsid w:val="004902C1"/>
    <w:rsid w:val="00492BC5"/>
    <w:rsid w:val="004964F1"/>
    <w:rsid w:val="004A16BC"/>
    <w:rsid w:val="004A171E"/>
    <w:rsid w:val="004A2B94"/>
    <w:rsid w:val="004A3493"/>
    <w:rsid w:val="004A3C1D"/>
    <w:rsid w:val="004B4504"/>
    <w:rsid w:val="004B7C0C"/>
    <w:rsid w:val="004C1368"/>
    <w:rsid w:val="004C2DB9"/>
    <w:rsid w:val="004C3898"/>
    <w:rsid w:val="004D2704"/>
    <w:rsid w:val="004D36B1"/>
    <w:rsid w:val="004D5306"/>
    <w:rsid w:val="004D541E"/>
    <w:rsid w:val="004D7EBD"/>
    <w:rsid w:val="004E2680"/>
    <w:rsid w:val="004E28F9"/>
    <w:rsid w:val="004E462E"/>
    <w:rsid w:val="004E56DC"/>
    <w:rsid w:val="004E76F4"/>
    <w:rsid w:val="004F0B4E"/>
    <w:rsid w:val="004F0B6C"/>
    <w:rsid w:val="004F2078"/>
    <w:rsid w:val="004F2783"/>
    <w:rsid w:val="004F2F9B"/>
    <w:rsid w:val="004F4DA3"/>
    <w:rsid w:val="00506557"/>
    <w:rsid w:val="0050677A"/>
    <w:rsid w:val="005072C5"/>
    <w:rsid w:val="005108D8"/>
    <w:rsid w:val="005116F9"/>
    <w:rsid w:val="005153A7"/>
    <w:rsid w:val="00520C65"/>
    <w:rsid w:val="005219CF"/>
    <w:rsid w:val="0052428B"/>
    <w:rsid w:val="00533C01"/>
    <w:rsid w:val="00534B59"/>
    <w:rsid w:val="00536759"/>
    <w:rsid w:val="00537B45"/>
    <w:rsid w:val="00537C62"/>
    <w:rsid w:val="00544765"/>
    <w:rsid w:val="00546970"/>
    <w:rsid w:val="00546E1E"/>
    <w:rsid w:val="0054759B"/>
    <w:rsid w:val="00552B06"/>
    <w:rsid w:val="00553ED2"/>
    <w:rsid w:val="00554E19"/>
    <w:rsid w:val="0056121F"/>
    <w:rsid w:val="005663FA"/>
    <w:rsid w:val="00572393"/>
    <w:rsid w:val="00572505"/>
    <w:rsid w:val="00582809"/>
    <w:rsid w:val="0058798C"/>
    <w:rsid w:val="005900FA"/>
    <w:rsid w:val="00591BD8"/>
    <w:rsid w:val="00592DF1"/>
    <w:rsid w:val="005935A4"/>
    <w:rsid w:val="005948C2"/>
    <w:rsid w:val="00595DCA"/>
    <w:rsid w:val="0059779B"/>
    <w:rsid w:val="005A209A"/>
    <w:rsid w:val="005A662D"/>
    <w:rsid w:val="005B0236"/>
    <w:rsid w:val="005B1F90"/>
    <w:rsid w:val="005B21A7"/>
    <w:rsid w:val="005B2307"/>
    <w:rsid w:val="005B2B47"/>
    <w:rsid w:val="005B2DE7"/>
    <w:rsid w:val="005B35D7"/>
    <w:rsid w:val="005B392A"/>
    <w:rsid w:val="005B3AA3"/>
    <w:rsid w:val="005B5909"/>
    <w:rsid w:val="005B591A"/>
    <w:rsid w:val="005B6F83"/>
    <w:rsid w:val="005C0E35"/>
    <w:rsid w:val="005C6711"/>
    <w:rsid w:val="005C74FB"/>
    <w:rsid w:val="005D1602"/>
    <w:rsid w:val="005D71D3"/>
    <w:rsid w:val="005E0977"/>
    <w:rsid w:val="005E385F"/>
    <w:rsid w:val="005E4850"/>
    <w:rsid w:val="005E5B81"/>
    <w:rsid w:val="005F02B5"/>
    <w:rsid w:val="005F276C"/>
    <w:rsid w:val="005F2CB1"/>
    <w:rsid w:val="005F3025"/>
    <w:rsid w:val="005F3D62"/>
    <w:rsid w:val="005F618C"/>
    <w:rsid w:val="005F70BD"/>
    <w:rsid w:val="006023A5"/>
    <w:rsid w:val="0060283C"/>
    <w:rsid w:val="006045C2"/>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3A8A"/>
    <w:rsid w:val="0064624E"/>
    <w:rsid w:val="00650AB9"/>
    <w:rsid w:val="0065474E"/>
    <w:rsid w:val="00655733"/>
    <w:rsid w:val="00655ACD"/>
    <w:rsid w:val="00656A92"/>
    <w:rsid w:val="00656DDE"/>
    <w:rsid w:val="0066011D"/>
    <w:rsid w:val="006607C0"/>
    <w:rsid w:val="006613A6"/>
    <w:rsid w:val="006627A2"/>
    <w:rsid w:val="006634E6"/>
    <w:rsid w:val="006655EE"/>
    <w:rsid w:val="00666AF8"/>
    <w:rsid w:val="00667EE7"/>
    <w:rsid w:val="00670922"/>
    <w:rsid w:val="00670BE1"/>
    <w:rsid w:val="0067218F"/>
    <w:rsid w:val="00673787"/>
    <w:rsid w:val="006741F2"/>
    <w:rsid w:val="00674CC3"/>
    <w:rsid w:val="00675C72"/>
    <w:rsid w:val="00677043"/>
    <w:rsid w:val="006771F9"/>
    <w:rsid w:val="006776D7"/>
    <w:rsid w:val="006809BC"/>
    <w:rsid w:val="00681003"/>
    <w:rsid w:val="006817C9"/>
    <w:rsid w:val="006828CD"/>
    <w:rsid w:val="00683ECE"/>
    <w:rsid w:val="006841E4"/>
    <w:rsid w:val="00686C6E"/>
    <w:rsid w:val="00690B13"/>
    <w:rsid w:val="00691CAF"/>
    <w:rsid w:val="00695FC2"/>
    <w:rsid w:val="006966FE"/>
    <w:rsid w:val="00696949"/>
    <w:rsid w:val="00697052"/>
    <w:rsid w:val="006978E1"/>
    <w:rsid w:val="006A1E7B"/>
    <w:rsid w:val="006A46FB"/>
    <w:rsid w:val="006A59DB"/>
    <w:rsid w:val="006A5E28"/>
    <w:rsid w:val="006A697B"/>
    <w:rsid w:val="006A7AFF"/>
    <w:rsid w:val="006B1816"/>
    <w:rsid w:val="006B1FCF"/>
    <w:rsid w:val="006B2099"/>
    <w:rsid w:val="006B30C4"/>
    <w:rsid w:val="006B50CF"/>
    <w:rsid w:val="006C03B8"/>
    <w:rsid w:val="006C5EC9"/>
    <w:rsid w:val="006C6059"/>
    <w:rsid w:val="006C7522"/>
    <w:rsid w:val="006D2E14"/>
    <w:rsid w:val="006D2FD5"/>
    <w:rsid w:val="006D6F08"/>
    <w:rsid w:val="006E062C"/>
    <w:rsid w:val="006E1999"/>
    <w:rsid w:val="006E28B7"/>
    <w:rsid w:val="006E3310"/>
    <w:rsid w:val="006E4E39"/>
    <w:rsid w:val="006E565E"/>
    <w:rsid w:val="006E673D"/>
    <w:rsid w:val="006E7D3B"/>
    <w:rsid w:val="006F1B70"/>
    <w:rsid w:val="006F2227"/>
    <w:rsid w:val="006F2D23"/>
    <w:rsid w:val="006F341D"/>
    <w:rsid w:val="006F3CDE"/>
    <w:rsid w:val="006F58D4"/>
    <w:rsid w:val="006F7F58"/>
    <w:rsid w:val="007026C1"/>
    <w:rsid w:val="0070346E"/>
    <w:rsid w:val="007043A0"/>
    <w:rsid w:val="00704EDB"/>
    <w:rsid w:val="00706101"/>
    <w:rsid w:val="00707072"/>
    <w:rsid w:val="00707D61"/>
    <w:rsid w:val="00712287"/>
    <w:rsid w:val="00712772"/>
    <w:rsid w:val="007148D3"/>
    <w:rsid w:val="0071574A"/>
    <w:rsid w:val="00715B9A"/>
    <w:rsid w:val="00715EB0"/>
    <w:rsid w:val="00726EA6"/>
    <w:rsid w:val="00727208"/>
    <w:rsid w:val="00727680"/>
    <w:rsid w:val="0073069E"/>
    <w:rsid w:val="007348B1"/>
    <w:rsid w:val="007362A6"/>
    <w:rsid w:val="00736853"/>
    <w:rsid w:val="00736D7D"/>
    <w:rsid w:val="007376F6"/>
    <w:rsid w:val="00740E58"/>
    <w:rsid w:val="007445A0"/>
    <w:rsid w:val="0074524B"/>
    <w:rsid w:val="00747D8B"/>
    <w:rsid w:val="00751228"/>
    <w:rsid w:val="00753370"/>
    <w:rsid w:val="007571E1"/>
    <w:rsid w:val="007604B2"/>
    <w:rsid w:val="007612C2"/>
    <w:rsid w:val="00765281"/>
    <w:rsid w:val="007663BC"/>
    <w:rsid w:val="00766BAD"/>
    <w:rsid w:val="007730BD"/>
    <w:rsid w:val="007755F2"/>
    <w:rsid w:val="00776971"/>
    <w:rsid w:val="00780993"/>
    <w:rsid w:val="0078177E"/>
    <w:rsid w:val="0078304C"/>
    <w:rsid w:val="00783673"/>
    <w:rsid w:val="00785490"/>
    <w:rsid w:val="00785735"/>
    <w:rsid w:val="00786D84"/>
    <w:rsid w:val="00790DB3"/>
    <w:rsid w:val="007925EA"/>
    <w:rsid w:val="00793B8B"/>
    <w:rsid w:val="00793CD8"/>
    <w:rsid w:val="00795C92"/>
    <w:rsid w:val="00796231"/>
    <w:rsid w:val="00797703"/>
    <w:rsid w:val="007A01F8"/>
    <w:rsid w:val="007A05A2"/>
    <w:rsid w:val="007A1356"/>
    <w:rsid w:val="007A1CB3"/>
    <w:rsid w:val="007A306F"/>
    <w:rsid w:val="007A43A6"/>
    <w:rsid w:val="007A512C"/>
    <w:rsid w:val="007A58A6"/>
    <w:rsid w:val="007B3D2D"/>
    <w:rsid w:val="007B50AE"/>
    <w:rsid w:val="007B51DF"/>
    <w:rsid w:val="007C05DD"/>
    <w:rsid w:val="007C2BCF"/>
    <w:rsid w:val="007C3D18"/>
    <w:rsid w:val="007C401C"/>
    <w:rsid w:val="007C60BF"/>
    <w:rsid w:val="007C6A07"/>
    <w:rsid w:val="007C75A1"/>
    <w:rsid w:val="007C7726"/>
    <w:rsid w:val="007C77A5"/>
    <w:rsid w:val="007D04E5"/>
    <w:rsid w:val="007D5901"/>
    <w:rsid w:val="007D63BB"/>
    <w:rsid w:val="007D7078"/>
    <w:rsid w:val="007D7526"/>
    <w:rsid w:val="007E4610"/>
    <w:rsid w:val="007E4715"/>
    <w:rsid w:val="007E505B"/>
    <w:rsid w:val="007E7091"/>
    <w:rsid w:val="007F04AC"/>
    <w:rsid w:val="00801F84"/>
    <w:rsid w:val="0080298C"/>
    <w:rsid w:val="00803FAE"/>
    <w:rsid w:val="0080605F"/>
    <w:rsid w:val="0080640D"/>
    <w:rsid w:val="00807786"/>
    <w:rsid w:val="00807E28"/>
    <w:rsid w:val="00811FCB"/>
    <w:rsid w:val="008158D6"/>
    <w:rsid w:val="00817196"/>
    <w:rsid w:val="008235DB"/>
    <w:rsid w:val="00824AB4"/>
    <w:rsid w:val="00824CD2"/>
    <w:rsid w:val="00825C42"/>
    <w:rsid w:val="00825D25"/>
    <w:rsid w:val="00826C74"/>
    <w:rsid w:val="00827D6F"/>
    <w:rsid w:val="00832C07"/>
    <w:rsid w:val="008376AC"/>
    <w:rsid w:val="00840A60"/>
    <w:rsid w:val="00843748"/>
    <w:rsid w:val="008444E8"/>
    <w:rsid w:val="00844E80"/>
    <w:rsid w:val="00846FE7"/>
    <w:rsid w:val="00853987"/>
    <w:rsid w:val="00854F97"/>
    <w:rsid w:val="00856911"/>
    <w:rsid w:val="008606EF"/>
    <w:rsid w:val="00864AA9"/>
    <w:rsid w:val="008677FD"/>
    <w:rsid w:val="008706D4"/>
    <w:rsid w:val="00870F8A"/>
    <w:rsid w:val="008718D1"/>
    <w:rsid w:val="008719A4"/>
    <w:rsid w:val="00871D23"/>
    <w:rsid w:val="00874312"/>
    <w:rsid w:val="0087437C"/>
    <w:rsid w:val="00875CD7"/>
    <w:rsid w:val="00876B4D"/>
    <w:rsid w:val="00876CDC"/>
    <w:rsid w:val="00877F18"/>
    <w:rsid w:val="00881271"/>
    <w:rsid w:val="00892D09"/>
    <w:rsid w:val="00894A88"/>
    <w:rsid w:val="00895386"/>
    <w:rsid w:val="008A21FF"/>
    <w:rsid w:val="008A2CE2"/>
    <w:rsid w:val="008A30AC"/>
    <w:rsid w:val="008A44B8"/>
    <w:rsid w:val="008A4A3D"/>
    <w:rsid w:val="008A51A8"/>
    <w:rsid w:val="008A5293"/>
    <w:rsid w:val="008A54C7"/>
    <w:rsid w:val="008A77D8"/>
    <w:rsid w:val="008B0483"/>
    <w:rsid w:val="008B120C"/>
    <w:rsid w:val="008B51A0"/>
    <w:rsid w:val="008B592A"/>
    <w:rsid w:val="008B7B5C"/>
    <w:rsid w:val="008C0C99"/>
    <w:rsid w:val="008C15BC"/>
    <w:rsid w:val="008C2017"/>
    <w:rsid w:val="008C4958"/>
    <w:rsid w:val="008C4BAA"/>
    <w:rsid w:val="008C6AE8"/>
    <w:rsid w:val="008C7573"/>
    <w:rsid w:val="008D246D"/>
    <w:rsid w:val="008D34F1"/>
    <w:rsid w:val="008D39D8"/>
    <w:rsid w:val="008D6D1A"/>
    <w:rsid w:val="008E065E"/>
    <w:rsid w:val="008E0927"/>
    <w:rsid w:val="008E114B"/>
    <w:rsid w:val="008E1909"/>
    <w:rsid w:val="008E5219"/>
    <w:rsid w:val="008F1EAB"/>
    <w:rsid w:val="008F2FC6"/>
    <w:rsid w:val="008F33DC"/>
    <w:rsid w:val="008F477F"/>
    <w:rsid w:val="008F4B4E"/>
    <w:rsid w:val="00900A6F"/>
    <w:rsid w:val="00902350"/>
    <w:rsid w:val="0090336B"/>
    <w:rsid w:val="009037A3"/>
    <w:rsid w:val="009053AA"/>
    <w:rsid w:val="00906939"/>
    <w:rsid w:val="00910B7D"/>
    <w:rsid w:val="00911DFB"/>
    <w:rsid w:val="009139D9"/>
    <w:rsid w:val="00914AD8"/>
    <w:rsid w:val="00914DB8"/>
    <w:rsid w:val="00916079"/>
    <w:rsid w:val="00916892"/>
    <w:rsid w:val="00917CE9"/>
    <w:rsid w:val="00920BF2"/>
    <w:rsid w:val="00922010"/>
    <w:rsid w:val="00924759"/>
    <w:rsid w:val="00925EAF"/>
    <w:rsid w:val="00931BD9"/>
    <w:rsid w:val="00932CC9"/>
    <w:rsid w:val="00935CB4"/>
    <w:rsid w:val="009368F3"/>
    <w:rsid w:val="00936F14"/>
    <w:rsid w:val="00941636"/>
    <w:rsid w:val="00943742"/>
    <w:rsid w:val="00945C05"/>
    <w:rsid w:val="00946945"/>
    <w:rsid w:val="00947713"/>
    <w:rsid w:val="00947C44"/>
    <w:rsid w:val="00950672"/>
    <w:rsid w:val="00950DE7"/>
    <w:rsid w:val="00951636"/>
    <w:rsid w:val="00953920"/>
    <w:rsid w:val="00953D47"/>
    <w:rsid w:val="0095681E"/>
    <w:rsid w:val="009572D4"/>
    <w:rsid w:val="00957664"/>
    <w:rsid w:val="00961921"/>
    <w:rsid w:val="0096430A"/>
    <w:rsid w:val="0096554B"/>
    <w:rsid w:val="0096584A"/>
    <w:rsid w:val="009674F3"/>
    <w:rsid w:val="00971F08"/>
    <w:rsid w:val="00974964"/>
    <w:rsid w:val="00975CCA"/>
    <w:rsid w:val="0097603D"/>
    <w:rsid w:val="00976949"/>
    <w:rsid w:val="00976EC1"/>
    <w:rsid w:val="00980124"/>
    <w:rsid w:val="00980477"/>
    <w:rsid w:val="00984FDE"/>
    <w:rsid w:val="00985253"/>
    <w:rsid w:val="009853B3"/>
    <w:rsid w:val="009878BD"/>
    <w:rsid w:val="00990630"/>
    <w:rsid w:val="00991761"/>
    <w:rsid w:val="009936A0"/>
    <w:rsid w:val="00994DCA"/>
    <w:rsid w:val="009960EC"/>
    <w:rsid w:val="00996C59"/>
    <w:rsid w:val="009970DD"/>
    <w:rsid w:val="009A0A2F"/>
    <w:rsid w:val="009A0FBA"/>
    <w:rsid w:val="009A1601"/>
    <w:rsid w:val="009A24C5"/>
    <w:rsid w:val="009A462D"/>
    <w:rsid w:val="009A5CBA"/>
    <w:rsid w:val="009B1EC8"/>
    <w:rsid w:val="009B1F30"/>
    <w:rsid w:val="009B2947"/>
    <w:rsid w:val="009B3AC2"/>
    <w:rsid w:val="009B4DF4"/>
    <w:rsid w:val="009B564E"/>
    <w:rsid w:val="009B758E"/>
    <w:rsid w:val="009B7E87"/>
    <w:rsid w:val="009C1B48"/>
    <w:rsid w:val="009C403E"/>
    <w:rsid w:val="009C69EB"/>
    <w:rsid w:val="009D4FF0"/>
    <w:rsid w:val="009D703C"/>
    <w:rsid w:val="009D718F"/>
    <w:rsid w:val="009E068F"/>
    <w:rsid w:val="009E0FE9"/>
    <w:rsid w:val="009E14E0"/>
    <w:rsid w:val="009E35DB"/>
    <w:rsid w:val="009E3A46"/>
    <w:rsid w:val="009E47A3"/>
    <w:rsid w:val="009E613B"/>
    <w:rsid w:val="009E6BD9"/>
    <w:rsid w:val="009F08F3"/>
    <w:rsid w:val="009F0E38"/>
    <w:rsid w:val="009F1508"/>
    <w:rsid w:val="009F341F"/>
    <w:rsid w:val="009F344F"/>
    <w:rsid w:val="00A02082"/>
    <w:rsid w:val="00A048A8"/>
    <w:rsid w:val="00A04F49"/>
    <w:rsid w:val="00A105B6"/>
    <w:rsid w:val="00A11D88"/>
    <w:rsid w:val="00A13E54"/>
    <w:rsid w:val="00A1442F"/>
    <w:rsid w:val="00A16B55"/>
    <w:rsid w:val="00A17F63"/>
    <w:rsid w:val="00A2052C"/>
    <w:rsid w:val="00A2193B"/>
    <w:rsid w:val="00A2351A"/>
    <w:rsid w:val="00A2392B"/>
    <w:rsid w:val="00A26212"/>
    <w:rsid w:val="00A264A9"/>
    <w:rsid w:val="00A27785"/>
    <w:rsid w:val="00A30187"/>
    <w:rsid w:val="00A30E4F"/>
    <w:rsid w:val="00A3448A"/>
    <w:rsid w:val="00A36297"/>
    <w:rsid w:val="00A415BE"/>
    <w:rsid w:val="00A41E2B"/>
    <w:rsid w:val="00A45B74"/>
    <w:rsid w:val="00A52E1D"/>
    <w:rsid w:val="00A54506"/>
    <w:rsid w:val="00A61499"/>
    <w:rsid w:val="00A62A77"/>
    <w:rsid w:val="00A63483"/>
    <w:rsid w:val="00A6512D"/>
    <w:rsid w:val="00A657D7"/>
    <w:rsid w:val="00A660AC"/>
    <w:rsid w:val="00A664F0"/>
    <w:rsid w:val="00A66F55"/>
    <w:rsid w:val="00A67D4F"/>
    <w:rsid w:val="00A67E6C"/>
    <w:rsid w:val="00A71B99"/>
    <w:rsid w:val="00A739D0"/>
    <w:rsid w:val="00A761D4"/>
    <w:rsid w:val="00A77EC4"/>
    <w:rsid w:val="00A8488E"/>
    <w:rsid w:val="00A92879"/>
    <w:rsid w:val="00A9442A"/>
    <w:rsid w:val="00AA016F"/>
    <w:rsid w:val="00AA1ED6"/>
    <w:rsid w:val="00AA51D6"/>
    <w:rsid w:val="00AB0BC8"/>
    <w:rsid w:val="00AB11CA"/>
    <w:rsid w:val="00AB14D9"/>
    <w:rsid w:val="00AB3D40"/>
    <w:rsid w:val="00AB443B"/>
    <w:rsid w:val="00AB4AB8"/>
    <w:rsid w:val="00AB655E"/>
    <w:rsid w:val="00AC007F"/>
    <w:rsid w:val="00AC2ECD"/>
    <w:rsid w:val="00AC3119"/>
    <w:rsid w:val="00AC49FB"/>
    <w:rsid w:val="00AC5A10"/>
    <w:rsid w:val="00AD0AA3"/>
    <w:rsid w:val="00AD250F"/>
    <w:rsid w:val="00AD3F94"/>
    <w:rsid w:val="00AD4447"/>
    <w:rsid w:val="00AD4A5A"/>
    <w:rsid w:val="00AE124C"/>
    <w:rsid w:val="00AE27AC"/>
    <w:rsid w:val="00AE3743"/>
    <w:rsid w:val="00AE40E0"/>
    <w:rsid w:val="00AE4DBA"/>
    <w:rsid w:val="00AE4F07"/>
    <w:rsid w:val="00AE5916"/>
    <w:rsid w:val="00AF1C5D"/>
    <w:rsid w:val="00AF25B7"/>
    <w:rsid w:val="00AF42D7"/>
    <w:rsid w:val="00B006FE"/>
    <w:rsid w:val="00B007CB"/>
    <w:rsid w:val="00B02AA9"/>
    <w:rsid w:val="00B02FA3"/>
    <w:rsid w:val="00B03A3F"/>
    <w:rsid w:val="00B05084"/>
    <w:rsid w:val="00B10F9C"/>
    <w:rsid w:val="00B157F9"/>
    <w:rsid w:val="00B20256"/>
    <w:rsid w:val="00B20D09"/>
    <w:rsid w:val="00B235FB"/>
    <w:rsid w:val="00B272DE"/>
    <w:rsid w:val="00B2763F"/>
    <w:rsid w:val="00B27AAC"/>
    <w:rsid w:val="00B30929"/>
    <w:rsid w:val="00B31E36"/>
    <w:rsid w:val="00B32A59"/>
    <w:rsid w:val="00B372AA"/>
    <w:rsid w:val="00B40445"/>
    <w:rsid w:val="00B41888"/>
    <w:rsid w:val="00B4393D"/>
    <w:rsid w:val="00B45A52"/>
    <w:rsid w:val="00B46175"/>
    <w:rsid w:val="00B5341C"/>
    <w:rsid w:val="00B54251"/>
    <w:rsid w:val="00B6188F"/>
    <w:rsid w:val="00B6239B"/>
    <w:rsid w:val="00B66151"/>
    <w:rsid w:val="00B664C7"/>
    <w:rsid w:val="00B739F6"/>
    <w:rsid w:val="00B81A6C"/>
    <w:rsid w:val="00B81E8A"/>
    <w:rsid w:val="00B85DE5"/>
    <w:rsid w:val="00B867C4"/>
    <w:rsid w:val="00B90F73"/>
    <w:rsid w:val="00B93B59"/>
    <w:rsid w:val="00B9406A"/>
    <w:rsid w:val="00B94293"/>
    <w:rsid w:val="00BA11F4"/>
    <w:rsid w:val="00BA2280"/>
    <w:rsid w:val="00BA2A08"/>
    <w:rsid w:val="00BA56D2"/>
    <w:rsid w:val="00BA76E0"/>
    <w:rsid w:val="00BB2A25"/>
    <w:rsid w:val="00BB51E9"/>
    <w:rsid w:val="00BC0FDC"/>
    <w:rsid w:val="00BC3053"/>
    <w:rsid w:val="00BC45EE"/>
    <w:rsid w:val="00BC4D2E"/>
    <w:rsid w:val="00BD48AC"/>
    <w:rsid w:val="00BD5530"/>
    <w:rsid w:val="00BD5F1A"/>
    <w:rsid w:val="00BE1234"/>
    <w:rsid w:val="00BE15E9"/>
    <w:rsid w:val="00BE2FA6"/>
    <w:rsid w:val="00BE3107"/>
    <w:rsid w:val="00BE333F"/>
    <w:rsid w:val="00BE7406"/>
    <w:rsid w:val="00BE7603"/>
    <w:rsid w:val="00BF2839"/>
    <w:rsid w:val="00BF3279"/>
    <w:rsid w:val="00BF74C7"/>
    <w:rsid w:val="00C00FA2"/>
    <w:rsid w:val="00C015F1"/>
    <w:rsid w:val="00C01F33"/>
    <w:rsid w:val="00C02CC6"/>
    <w:rsid w:val="00C040F7"/>
    <w:rsid w:val="00C041B0"/>
    <w:rsid w:val="00C044AB"/>
    <w:rsid w:val="00C05706"/>
    <w:rsid w:val="00C05A23"/>
    <w:rsid w:val="00C06109"/>
    <w:rsid w:val="00C07377"/>
    <w:rsid w:val="00C10478"/>
    <w:rsid w:val="00C12107"/>
    <w:rsid w:val="00C121D4"/>
    <w:rsid w:val="00C14D4B"/>
    <w:rsid w:val="00C154BB"/>
    <w:rsid w:val="00C24345"/>
    <w:rsid w:val="00C279B5"/>
    <w:rsid w:val="00C27C45"/>
    <w:rsid w:val="00C3719D"/>
    <w:rsid w:val="00C43741"/>
    <w:rsid w:val="00C4388F"/>
    <w:rsid w:val="00C438B0"/>
    <w:rsid w:val="00C44584"/>
    <w:rsid w:val="00C507B5"/>
    <w:rsid w:val="00C54995"/>
    <w:rsid w:val="00C54D41"/>
    <w:rsid w:val="00C60783"/>
    <w:rsid w:val="00C60E8C"/>
    <w:rsid w:val="00C64672"/>
    <w:rsid w:val="00C70697"/>
    <w:rsid w:val="00C7221F"/>
    <w:rsid w:val="00C72EF4"/>
    <w:rsid w:val="00C75D2F"/>
    <w:rsid w:val="00C767BE"/>
    <w:rsid w:val="00C76E3C"/>
    <w:rsid w:val="00C80749"/>
    <w:rsid w:val="00C81568"/>
    <w:rsid w:val="00C83F1E"/>
    <w:rsid w:val="00C84703"/>
    <w:rsid w:val="00C9027A"/>
    <w:rsid w:val="00C9068E"/>
    <w:rsid w:val="00C91947"/>
    <w:rsid w:val="00C92FA6"/>
    <w:rsid w:val="00C93C4B"/>
    <w:rsid w:val="00C944AB"/>
    <w:rsid w:val="00C95B40"/>
    <w:rsid w:val="00C96F8F"/>
    <w:rsid w:val="00CA1ED8"/>
    <w:rsid w:val="00CA5E34"/>
    <w:rsid w:val="00CB1F63"/>
    <w:rsid w:val="00CB2296"/>
    <w:rsid w:val="00CB3524"/>
    <w:rsid w:val="00CB7170"/>
    <w:rsid w:val="00CC000D"/>
    <w:rsid w:val="00CC040E"/>
    <w:rsid w:val="00CC111F"/>
    <w:rsid w:val="00CC2011"/>
    <w:rsid w:val="00CC3EA0"/>
    <w:rsid w:val="00CC483C"/>
    <w:rsid w:val="00CC7B45"/>
    <w:rsid w:val="00CD1188"/>
    <w:rsid w:val="00CD2ED1"/>
    <w:rsid w:val="00CD337B"/>
    <w:rsid w:val="00CE0424"/>
    <w:rsid w:val="00CE1B86"/>
    <w:rsid w:val="00CE7561"/>
    <w:rsid w:val="00CF1354"/>
    <w:rsid w:val="00CF3B1F"/>
    <w:rsid w:val="00CF3BF6"/>
    <w:rsid w:val="00CF52E2"/>
    <w:rsid w:val="00CF625B"/>
    <w:rsid w:val="00CF687E"/>
    <w:rsid w:val="00D020CC"/>
    <w:rsid w:val="00D0349B"/>
    <w:rsid w:val="00D10249"/>
    <w:rsid w:val="00D115C3"/>
    <w:rsid w:val="00D11897"/>
    <w:rsid w:val="00D13135"/>
    <w:rsid w:val="00D13E4E"/>
    <w:rsid w:val="00D239A7"/>
    <w:rsid w:val="00D23F47"/>
    <w:rsid w:val="00D337F3"/>
    <w:rsid w:val="00D36E71"/>
    <w:rsid w:val="00D37AE7"/>
    <w:rsid w:val="00D37D87"/>
    <w:rsid w:val="00D40B33"/>
    <w:rsid w:val="00D4318F"/>
    <w:rsid w:val="00D438BF"/>
    <w:rsid w:val="00D440F8"/>
    <w:rsid w:val="00D44D69"/>
    <w:rsid w:val="00D45701"/>
    <w:rsid w:val="00D50F97"/>
    <w:rsid w:val="00D546FF"/>
    <w:rsid w:val="00D559E7"/>
    <w:rsid w:val="00D55A6D"/>
    <w:rsid w:val="00D55AD5"/>
    <w:rsid w:val="00D56BE8"/>
    <w:rsid w:val="00D576CA"/>
    <w:rsid w:val="00D61AF5"/>
    <w:rsid w:val="00D652B5"/>
    <w:rsid w:val="00D66155"/>
    <w:rsid w:val="00D708B0"/>
    <w:rsid w:val="00D71F36"/>
    <w:rsid w:val="00D721DA"/>
    <w:rsid w:val="00D73EEA"/>
    <w:rsid w:val="00D77B1D"/>
    <w:rsid w:val="00D8021F"/>
    <w:rsid w:val="00D80383"/>
    <w:rsid w:val="00D805C1"/>
    <w:rsid w:val="00D823C6"/>
    <w:rsid w:val="00D86CA3"/>
    <w:rsid w:val="00D871CE"/>
    <w:rsid w:val="00D9196D"/>
    <w:rsid w:val="00D92982"/>
    <w:rsid w:val="00D9541A"/>
    <w:rsid w:val="00D95B83"/>
    <w:rsid w:val="00D96984"/>
    <w:rsid w:val="00DA305E"/>
    <w:rsid w:val="00DA5417"/>
    <w:rsid w:val="00DA56E8"/>
    <w:rsid w:val="00DB0A9F"/>
    <w:rsid w:val="00DB377D"/>
    <w:rsid w:val="00DB38AE"/>
    <w:rsid w:val="00DB575F"/>
    <w:rsid w:val="00DB6C25"/>
    <w:rsid w:val="00DC1E16"/>
    <w:rsid w:val="00DC2D36"/>
    <w:rsid w:val="00DC3DA7"/>
    <w:rsid w:val="00DC53EF"/>
    <w:rsid w:val="00DC5B70"/>
    <w:rsid w:val="00DD03F1"/>
    <w:rsid w:val="00DD05B1"/>
    <w:rsid w:val="00DD4684"/>
    <w:rsid w:val="00DE2E49"/>
    <w:rsid w:val="00DE5608"/>
    <w:rsid w:val="00DE58D0"/>
    <w:rsid w:val="00DE654F"/>
    <w:rsid w:val="00DE7F88"/>
    <w:rsid w:val="00DF0B6E"/>
    <w:rsid w:val="00DF15E0"/>
    <w:rsid w:val="00DF356A"/>
    <w:rsid w:val="00DF37A0"/>
    <w:rsid w:val="00DF6D44"/>
    <w:rsid w:val="00E06DFA"/>
    <w:rsid w:val="00E110E7"/>
    <w:rsid w:val="00E11B20"/>
    <w:rsid w:val="00E16CBE"/>
    <w:rsid w:val="00E17FA2"/>
    <w:rsid w:val="00E20D9A"/>
    <w:rsid w:val="00E22330"/>
    <w:rsid w:val="00E30B5A"/>
    <w:rsid w:val="00E3123D"/>
    <w:rsid w:val="00E31461"/>
    <w:rsid w:val="00E31D43"/>
    <w:rsid w:val="00E32608"/>
    <w:rsid w:val="00E34188"/>
    <w:rsid w:val="00E34B6E"/>
    <w:rsid w:val="00E35559"/>
    <w:rsid w:val="00E3723A"/>
    <w:rsid w:val="00E37860"/>
    <w:rsid w:val="00E446F1"/>
    <w:rsid w:val="00E46886"/>
    <w:rsid w:val="00E46DCB"/>
    <w:rsid w:val="00E47AEF"/>
    <w:rsid w:val="00E506BD"/>
    <w:rsid w:val="00E525BF"/>
    <w:rsid w:val="00E53B75"/>
    <w:rsid w:val="00E54E3B"/>
    <w:rsid w:val="00E55919"/>
    <w:rsid w:val="00E57565"/>
    <w:rsid w:val="00E63838"/>
    <w:rsid w:val="00E63C0F"/>
    <w:rsid w:val="00E63D4C"/>
    <w:rsid w:val="00E64434"/>
    <w:rsid w:val="00E65CE1"/>
    <w:rsid w:val="00E66944"/>
    <w:rsid w:val="00E67C51"/>
    <w:rsid w:val="00E7002F"/>
    <w:rsid w:val="00E72EFC"/>
    <w:rsid w:val="00E73A64"/>
    <w:rsid w:val="00E73CDC"/>
    <w:rsid w:val="00E758EC"/>
    <w:rsid w:val="00E81BBD"/>
    <w:rsid w:val="00E8234C"/>
    <w:rsid w:val="00E83AA9"/>
    <w:rsid w:val="00E85928"/>
    <w:rsid w:val="00E87822"/>
    <w:rsid w:val="00E90395"/>
    <w:rsid w:val="00E90E49"/>
    <w:rsid w:val="00E91490"/>
    <w:rsid w:val="00E917F9"/>
    <w:rsid w:val="00E9291C"/>
    <w:rsid w:val="00E935F3"/>
    <w:rsid w:val="00E93FFE"/>
    <w:rsid w:val="00E94E95"/>
    <w:rsid w:val="00E94F57"/>
    <w:rsid w:val="00E94F8A"/>
    <w:rsid w:val="00E97668"/>
    <w:rsid w:val="00EA7A41"/>
    <w:rsid w:val="00EB0280"/>
    <w:rsid w:val="00EB077B"/>
    <w:rsid w:val="00EB4EA2"/>
    <w:rsid w:val="00EB5967"/>
    <w:rsid w:val="00EC17D5"/>
    <w:rsid w:val="00EC27C6"/>
    <w:rsid w:val="00EC38B4"/>
    <w:rsid w:val="00EC4207"/>
    <w:rsid w:val="00EC5653"/>
    <w:rsid w:val="00EC6471"/>
    <w:rsid w:val="00EC71CE"/>
    <w:rsid w:val="00EC735D"/>
    <w:rsid w:val="00ED1006"/>
    <w:rsid w:val="00ED438E"/>
    <w:rsid w:val="00ED5D73"/>
    <w:rsid w:val="00EE6805"/>
    <w:rsid w:val="00EF18FE"/>
    <w:rsid w:val="00EF35C9"/>
    <w:rsid w:val="00EF5787"/>
    <w:rsid w:val="00EF60D0"/>
    <w:rsid w:val="00EF66A2"/>
    <w:rsid w:val="00F03E54"/>
    <w:rsid w:val="00F0528D"/>
    <w:rsid w:val="00F06C67"/>
    <w:rsid w:val="00F06DFD"/>
    <w:rsid w:val="00F071D1"/>
    <w:rsid w:val="00F07533"/>
    <w:rsid w:val="00F10495"/>
    <w:rsid w:val="00F10629"/>
    <w:rsid w:val="00F12F6C"/>
    <w:rsid w:val="00F15FA5"/>
    <w:rsid w:val="00F209B7"/>
    <w:rsid w:val="00F2376F"/>
    <w:rsid w:val="00F243D8"/>
    <w:rsid w:val="00F2621A"/>
    <w:rsid w:val="00F30828"/>
    <w:rsid w:val="00F313D6"/>
    <w:rsid w:val="00F40F0C"/>
    <w:rsid w:val="00F4766C"/>
    <w:rsid w:val="00F507D1"/>
    <w:rsid w:val="00F519CE"/>
    <w:rsid w:val="00F51ADA"/>
    <w:rsid w:val="00F536C3"/>
    <w:rsid w:val="00F607C5"/>
    <w:rsid w:val="00F60DEA"/>
    <w:rsid w:val="00F60FFB"/>
    <w:rsid w:val="00F617DE"/>
    <w:rsid w:val="00F6302A"/>
    <w:rsid w:val="00F64C2B"/>
    <w:rsid w:val="00F651BE"/>
    <w:rsid w:val="00F67F53"/>
    <w:rsid w:val="00F703BE"/>
    <w:rsid w:val="00F71F69"/>
    <w:rsid w:val="00F72B72"/>
    <w:rsid w:val="00F74BB9"/>
    <w:rsid w:val="00F75582"/>
    <w:rsid w:val="00F76EFA"/>
    <w:rsid w:val="00F804BE"/>
    <w:rsid w:val="00F817CE"/>
    <w:rsid w:val="00F8456C"/>
    <w:rsid w:val="00F8586A"/>
    <w:rsid w:val="00F859D8"/>
    <w:rsid w:val="00F868F5"/>
    <w:rsid w:val="00F9056A"/>
    <w:rsid w:val="00F90F8D"/>
    <w:rsid w:val="00F92782"/>
    <w:rsid w:val="00F93281"/>
    <w:rsid w:val="00F93AA9"/>
    <w:rsid w:val="00F93B08"/>
    <w:rsid w:val="00F95ED1"/>
    <w:rsid w:val="00F96985"/>
    <w:rsid w:val="00F97838"/>
    <w:rsid w:val="00FA2BB3"/>
    <w:rsid w:val="00FA3C3A"/>
    <w:rsid w:val="00FB18EC"/>
    <w:rsid w:val="00FB2122"/>
    <w:rsid w:val="00FB283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83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F28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F283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F2839"/>
    <w:pPr>
      <w:numPr>
        <w:ilvl w:val="2"/>
      </w:numPr>
      <w:spacing w:before="120"/>
      <w:outlineLvl w:val="2"/>
    </w:pPr>
    <w:rPr>
      <w:sz w:val="28"/>
      <w:szCs w:val="28"/>
    </w:rPr>
  </w:style>
  <w:style w:type="paragraph" w:styleId="Heading4">
    <w:name w:val="heading 4"/>
    <w:basedOn w:val="Heading3"/>
    <w:next w:val="Normal"/>
    <w:qFormat/>
    <w:rsid w:val="00BF2839"/>
    <w:pPr>
      <w:numPr>
        <w:ilvl w:val="3"/>
      </w:numPr>
      <w:outlineLvl w:val="3"/>
    </w:pPr>
    <w:rPr>
      <w:sz w:val="24"/>
      <w:szCs w:val="24"/>
    </w:rPr>
  </w:style>
  <w:style w:type="paragraph" w:styleId="Heading5">
    <w:name w:val="heading 5"/>
    <w:basedOn w:val="Heading4"/>
    <w:next w:val="Normal"/>
    <w:qFormat/>
    <w:rsid w:val="00BF2839"/>
    <w:pPr>
      <w:numPr>
        <w:ilvl w:val="4"/>
      </w:numPr>
      <w:outlineLvl w:val="4"/>
    </w:pPr>
    <w:rPr>
      <w:sz w:val="22"/>
      <w:szCs w:val="22"/>
    </w:rPr>
  </w:style>
  <w:style w:type="paragraph" w:styleId="Heading6">
    <w:name w:val="heading 6"/>
    <w:basedOn w:val="Normal"/>
    <w:next w:val="Normal"/>
    <w:qFormat/>
    <w:rsid w:val="00BF2839"/>
    <w:pPr>
      <w:keepNext/>
      <w:keepLines/>
      <w:numPr>
        <w:ilvl w:val="5"/>
        <w:numId w:val="1"/>
      </w:numPr>
      <w:spacing w:before="120"/>
      <w:outlineLvl w:val="5"/>
    </w:pPr>
    <w:rPr>
      <w:rFonts w:cs="Arial"/>
    </w:rPr>
  </w:style>
  <w:style w:type="paragraph" w:styleId="Heading7">
    <w:name w:val="heading 7"/>
    <w:basedOn w:val="Normal"/>
    <w:next w:val="Normal"/>
    <w:qFormat/>
    <w:rsid w:val="00BF2839"/>
    <w:pPr>
      <w:keepNext/>
      <w:keepLines/>
      <w:numPr>
        <w:ilvl w:val="6"/>
        <w:numId w:val="1"/>
      </w:numPr>
      <w:spacing w:before="120"/>
      <w:outlineLvl w:val="6"/>
    </w:pPr>
    <w:rPr>
      <w:rFonts w:cs="Arial"/>
    </w:rPr>
  </w:style>
  <w:style w:type="paragraph" w:styleId="Heading8">
    <w:name w:val="heading 8"/>
    <w:basedOn w:val="Heading7"/>
    <w:next w:val="Normal"/>
    <w:qFormat/>
    <w:rsid w:val="00BF2839"/>
    <w:pPr>
      <w:numPr>
        <w:ilvl w:val="7"/>
      </w:numPr>
      <w:outlineLvl w:val="7"/>
    </w:pPr>
  </w:style>
  <w:style w:type="paragraph" w:styleId="Heading9">
    <w:name w:val="heading 9"/>
    <w:basedOn w:val="Heading8"/>
    <w:next w:val="Normal"/>
    <w:qFormat/>
    <w:rsid w:val="00BF2839"/>
    <w:pPr>
      <w:numPr>
        <w:ilvl w:val="8"/>
      </w:numPr>
      <w:outlineLvl w:val="8"/>
    </w:pPr>
  </w:style>
  <w:style w:type="character" w:default="1" w:styleId="DefaultParagraphFont">
    <w:name w:val="Default Paragraph Font"/>
    <w:uiPriority w:val="1"/>
    <w:semiHidden/>
    <w:unhideWhenUsed/>
    <w:rsid w:val="00BF28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839"/>
  </w:style>
  <w:style w:type="paragraph" w:styleId="TOC8">
    <w:name w:val="toc 8"/>
    <w:basedOn w:val="TOC1"/>
    <w:semiHidden/>
    <w:rsid w:val="00BF2839"/>
    <w:pPr>
      <w:spacing w:before="180"/>
      <w:ind w:left="2693" w:hanging="2693"/>
    </w:pPr>
    <w:rPr>
      <w:b w:val="0"/>
      <w:bCs/>
    </w:rPr>
  </w:style>
  <w:style w:type="paragraph" w:styleId="TOC1">
    <w:name w:val="toc 1"/>
    <w:aliases w:val="Observation TOC2"/>
    <w:uiPriority w:val="39"/>
    <w:rsid w:val="00BF28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F2839"/>
    <w:pPr>
      <w:keepNext/>
      <w:keepLines/>
      <w:spacing w:before="180"/>
      <w:jc w:val="center"/>
    </w:pPr>
  </w:style>
  <w:style w:type="paragraph" w:styleId="Caption">
    <w:name w:val="caption"/>
    <w:basedOn w:val="Normal"/>
    <w:next w:val="Normal"/>
    <w:qFormat/>
    <w:rsid w:val="00BF2839"/>
    <w:pPr>
      <w:spacing w:after="240"/>
      <w:jc w:val="center"/>
    </w:pPr>
    <w:rPr>
      <w:b/>
      <w:bCs/>
    </w:rPr>
  </w:style>
  <w:style w:type="paragraph" w:styleId="TOC5">
    <w:name w:val="toc 5"/>
    <w:aliases w:val="Observation TOC"/>
    <w:basedOn w:val="TOC4"/>
    <w:semiHidden/>
    <w:rsid w:val="00BF2839"/>
    <w:pPr>
      <w:tabs>
        <w:tab w:val="right" w:pos="1701"/>
      </w:tabs>
      <w:ind w:left="1701" w:hanging="1701"/>
    </w:pPr>
  </w:style>
  <w:style w:type="paragraph" w:styleId="TOC4">
    <w:name w:val="toc 4"/>
    <w:basedOn w:val="TOC3"/>
    <w:semiHidden/>
    <w:rsid w:val="00BF2839"/>
    <w:pPr>
      <w:ind w:left="1418" w:hanging="1418"/>
    </w:pPr>
  </w:style>
  <w:style w:type="paragraph" w:styleId="TOC3">
    <w:name w:val="toc 3"/>
    <w:basedOn w:val="TOC2"/>
    <w:semiHidden/>
    <w:rsid w:val="00BF2839"/>
    <w:pPr>
      <w:ind w:left="1134" w:hanging="1134"/>
    </w:pPr>
  </w:style>
  <w:style w:type="paragraph" w:styleId="TOC2">
    <w:name w:val="toc 2"/>
    <w:basedOn w:val="TOC1"/>
    <w:semiHidden/>
    <w:rsid w:val="00BF2839"/>
    <w:pPr>
      <w:keepNext w:val="0"/>
      <w:spacing w:before="0"/>
      <w:ind w:left="851" w:hanging="851"/>
    </w:pPr>
    <w:rPr>
      <w:szCs w:val="20"/>
    </w:rPr>
  </w:style>
  <w:style w:type="paragraph" w:styleId="Index2">
    <w:name w:val="index 2"/>
    <w:basedOn w:val="Index1"/>
    <w:semiHidden/>
    <w:rsid w:val="00BF2839"/>
    <w:pPr>
      <w:ind w:left="284"/>
    </w:pPr>
  </w:style>
  <w:style w:type="paragraph" w:styleId="Index1">
    <w:name w:val="index 1"/>
    <w:basedOn w:val="Normal"/>
    <w:semiHidden/>
    <w:rsid w:val="00BF2839"/>
    <w:pPr>
      <w:keepLines/>
      <w:spacing w:after="0"/>
    </w:pPr>
  </w:style>
  <w:style w:type="paragraph" w:styleId="DocumentMap">
    <w:name w:val="Document Map"/>
    <w:basedOn w:val="Normal"/>
    <w:semiHidden/>
    <w:rsid w:val="00BF2839"/>
    <w:pPr>
      <w:shd w:val="clear" w:color="auto" w:fill="000080"/>
    </w:pPr>
    <w:rPr>
      <w:rFonts w:ascii="Tahoma" w:hAnsi="Tahoma" w:cs="Tahoma"/>
    </w:rPr>
  </w:style>
  <w:style w:type="paragraph" w:styleId="ListNumber2">
    <w:name w:val="List Number 2"/>
    <w:basedOn w:val="ListNumber"/>
    <w:rsid w:val="00BF2839"/>
    <w:pPr>
      <w:ind w:left="851"/>
    </w:pPr>
  </w:style>
  <w:style w:type="paragraph" w:styleId="ListNumber">
    <w:name w:val="List Number"/>
    <w:basedOn w:val="List"/>
    <w:rsid w:val="00BF2839"/>
  </w:style>
  <w:style w:type="paragraph" w:styleId="List">
    <w:name w:val="List"/>
    <w:basedOn w:val="Normal"/>
    <w:rsid w:val="00BF2839"/>
    <w:pPr>
      <w:ind w:left="568" w:hanging="284"/>
    </w:pPr>
  </w:style>
  <w:style w:type="paragraph" w:styleId="Header">
    <w:name w:val="header"/>
    <w:rsid w:val="00BF283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F2839"/>
    <w:rPr>
      <w:b/>
      <w:bCs/>
      <w:position w:val="6"/>
      <w:sz w:val="16"/>
      <w:szCs w:val="16"/>
    </w:rPr>
  </w:style>
  <w:style w:type="paragraph" w:styleId="FootnoteText">
    <w:name w:val="footnote text"/>
    <w:basedOn w:val="Normal"/>
    <w:semiHidden/>
    <w:rsid w:val="00BF2839"/>
    <w:pPr>
      <w:keepLines/>
      <w:spacing w:after="0"/>
      <w:ind w:left="454" w:hanging="454"/>
    </w:pPr>
    <w:rPr>
      <w:sz w:val="16"/>
      <w:szCs w:val="16"/>
    </w:rPr>
  </w:style>
  <w:style w:type="paragraph" w:customStyle="1" w:styleId="3GPPHeader">
    <w:name w:val="3GPP_Header"/>
    <w:basedOn w:val="Normal"/>
    <w:rsid w:val="00BF2839"/>
    <w:pPr>
      <w:tabs>
        <w:tab w:val="left" w:pos="1701"/>
        <w:tab w:val="right" w:pos="9639"/>
      </w:tabs>
      <w:spacing w:after="240"/>
    </w:pPr>
    <w:rPr>
      <w:b/>
      <w:sz w:val="24"/>
    </w:rPr>
  </w:style>
  <w:style w:type="paragraph" w:styleId="TOC9">
    <w:name w:val="toc 9"/>
    <w:basedOn w:val="TOC8"/>
    <w:semiHidden/>
    <w:rsid w:val="00BF2839"/>
    <w:pPr>
      <w:ind w:left="1418" w:hanging="1418"/>
    </w:pPr>
  </w:style>
  <w:style w:type="paragraph" w:styleId="TOC6">
    <w:name w:val="toc 6"/>
    <w:basedOn w:val="TOC5"/>
    <w:next w:val="Normal"/>
    <w:semiHidden/>
    <w:rsid w:val="00BF2839"/>
    <w:pPr>
      <w:ind w:left="1985" w:hanging="1985"/>
    </w:pPr>
  </w:style>
  <w:style w:type="paragraph" w:styleId="TOC7">
    <w:name w:val="toc 7"/>
    <w:basedOn w:val="TOC6"/>
    <w:next w:val="Normal"/>
    <w:semiHidden/>
    <w:rsid w:val="00BF2839"/>
    <w:pPr>
      <w:ind w:left="2268" w:hanging="2268"/>
    </w:pPr>
  </w:style>
  <w:style w:type="paragraph" w:styleId="ListBullet2">
    <w:name w:val="List Bullet 2"/>
    <w:basedOn w:val="ListBullet"/>
    <w:rsid w:val="00BF2839"/>
    <w:pPr>
      <w:numPr>
        <w:numId w:val="6"/>
      </w:numPr>
    </w:pPr>
  </w:style>
  <w:style w:type="paragraph" w:styleId="ListBullet">
    <w:name w:val="List Bullet"/>
    <w:basedOn w:val="BodyText"/>
    <w:rsid w:val="00BF2839"/>
    <w:pPr>
      <w:numPr>
        <w:numId w:val="5"/>
      </w:numPr>
    </w:pPr>
  </w:style>
  <w:style w:type="paragraph" w:styleId="ListBullet3">
    <w:name w:val="List Bullet 3"/>
    <w:basedOn w:val="ListBullet2"/>
    <w:rsid w:val="00BF2839"/>
    <w:pPr>
      <w:numPr>
        <w:numId w:val="7"/>
      </w:numPr>
    </w:pPr>
  </w:style>
  <w:style w:type="paragraph" w:customStyle="1" w:styleId="EQ">
    <w:name w:val="EQ"/>
    <w:basedOn w:val="Normal"/>
    <w:next w:val="Normal"/>
    <w:rsid w:val="00BF2839"/>
    <w:pPr>
      <w:keepLines/>
      <w:tabs>
        <w:tab w:val="center" w:pos="4536"/>
        <w:tab w:val="right" w:pos="9072"/>
      </w:tabs>
      <w:spacing w:after="180"/>
      <w:jc w:val="left"/>
    </w:pPr>
    <w:rPr>
      <w:noProof/>
      <w:lang w:eastAsia="en-US"/>
    </w:rPr>
  </w:style>
  <w:style w:type="paragraph" w:styleId="List2">
    <w:name w:val="List 2"/>
    <w:basedOn w:val="List"/>
    <w:rsid w:val="00BF2839"/>
    <w:pPr>
      <w:ind w:left="851"/>
    </w:pPr>
  </w:style>
  <w:style w:type="paragraph" w:styleId="List3">
    <w:name w:val="List 3"/>
    <w:basedOn w:val="List2"/>
    <w:rsid w:val="00BF2839"/>
    <w:pPr>
      <w:ind w:left="1135"/>
    </w:pPr>
  </w:style>
  <w:style w:type="paragraph" w:styleId="List4">
    <w:name w:val="List 4"/>
    <w:basedOn w:val="List3"/>
    <w:rsid w:val="00BF2839"/>
    <w:pPr>
      <w:ind w:left="1418"/>
    </w:pPr>
  </w:style>
  <w:style w:type="paragraph" w:styleId="List5">
    <w:name w:val="List 5"/>
    <w:basedOn w:val="List4"/>
    <w:rsid w:val="00BF2839"/>
    <w:pPr>
      <w:ind w:left="1702"/>
    </w:pPr>
  </w:style>
  <w:style w:type="paragraph" w:customStyle="1" w:styleId="EditorsNote">
    <w:name w:val="Editor's Note"/>
    <w:basedOn w:val="Normal"/>
    <w:rsid w:val="00BF2839"/>
    <w:pPr>
      <w:keepLines/>
      <w:spacing w:after="180"/>
      <w:ind w:left="1135" w:hanging="851"/>
      <w:jc w:val="left"/>
    </w:pPr>
    <w:rPr>
      <w:color w:val="FF0000"/>
      <w:lang w:eastAsia="en-US"/>
    </w:rPr>
  </w:style>
  <w:style w:type="paragraph" w:styleId="ListBullet4">
    <w:name w:val="List Bullet 4"/>
    <w:basedOn w:val="ListBullet3"/>
    <w:rsid w:val="00BF2839"/>
    <w:pPr>
      <w:numPr>
        <w:numId w:val="8"/>
      </w:numPr>
    </w:pPr>
  </w:style>
  <w:style w:type="paragraph" w:styleId="ListBullet5">
    <w:name w:val="List Bullet 5"/>
    <w:basedOn w:val="ListBullet4"/>
    <w:rsid w:val="00BF2839"/>
    <w:pPr>
      <w:numPr>
        <w:numId w:val="4"/>
      </w:numPr>
    </w:pPr>
  </w:style>
  <w:style w:type="paragraph" w:styleId="Footer">
    <w:name w:val="footer"/>
    <w:basedOn w:val="Header"/>
    <w:semiHidden/>
    <w:rsid w:val="00BF2839"/>
    <w:pPr>
      <w:jc w:val="center"/>
    </w:pPr>
    <w:rPr>
      <w:i/>
      <w:iCs/>
    </w:rPr>
  </w:style>
  <w:style w:type="paragraph" w:customStyle="1" w:styleId="Reference">
    <w:name w:val="Reference"/>
    <w:basedOn w:val="Normal"/>
    <w:rsid w:val="00BF2839"/>
    <w:pPr>
      <w:numPr>
        <w:numId w:val="2"/>
      </w:numPr>
    </w:pPr>
  </w:style>
  <w:style w:type="paragraph" w:styleId="BalloonText">
    <w:name w:val="Balloon Text"/>
    <w:basedOn w:val="Normal"/>
    <w:semiHidden/>
    <w:rsid w:val="00BF2839"/>
    <w:rPr>
      <w:rFonts w:ascii="Tahoma" w:hAnsi="Tahoma" w:cs="Tahoma"/>
      <w:sz w:val="16"/>
      <w:szCs w:val="16"/>
    </w:rPr>
  </w:style>
  <w:style w:type="character" w:styleId="PageNumber">
    <w:name w:val="page number"/>
    <w:basedOn w:val="DefaultParagraphFont"/>
    <w:semiHidden/>
    <w:rsid w:val="00BF2839"/>
  </w:style>
  <w:style w:type="paragraph" w:styleId="BodyText">
    <w:name w:val="Body Text"/>
    <w:basedOn w:val="Normal"/>
    <w:link w:val="BodyTextChar"/>
    <w:rsid w:val="00BF2839"/>
  </w:style>
  <w:style w:type="character" w:styleId="Hyperlink">
    <w:name w:val="Hyperlink"/>
    <w:uiPriority w:val="99"/>
    <w:rsid w:val="00BF2839"/>
    <w:rPr>
      <w:color w:val="0000FF"/>
      <w:u w:val="single"/>
      <w:lang w:val="en-GB"/>
    </w:rPr>
  </w:style>
  <w:style w:type="character" w:styleId="FollowedHyperlink">
    <w:name w:val="FollowedHyperlink"/>
    <w:semiHidden/>
    <w:rsid w:val="00BF2839"/>
    <w:rPr>
      <w:color w:val="FF0000"/>
      <w:u w:val="single"/>
    </w:rPr>
  </w:style>
  <w:style w:type="character" w:styleId="CommentReference">
    <w:name w:val="annotation reference"/>
    <w:rsid w:val="00BF2839"/>
    <w:rPr>
      <w:sz w:val="16"/>
      <w:szCs w:val="16"/>
    </w:rPr>
  </w:style>
  <w:style w:type="paragraph" w:styleId="CommentText">
    <w:name w:val="annotation text"/>
    <w:basedOn w:val="Normal"/>
    <w:link w:val="CommentTextChar"/>
    <w:rsid w:val="00BF2839"/>
  </w:style>
  <w:style w:type="paragraph" w:styleId="CommentSubject">
    <w:name w:val="annotation subject"/>
    <w:basedOn w:val="CommentText"/>
    <w:next w:val="CommentText"/>
    <w:semiHidden/>
    <w:rsid w:val="00BF2839"/>
    <w:rPr>
      <w:b/>
      <w:bCs/>
    </w:rPr>
  </w:style>
  <w:style w:type="character" w:customStyle="1" w:styleId="Heading1Char">
    <w:name w:val="Heading 1 Char"/>
    <w:link w:val="Heading1"/>
    <w:rsid w:val="00BF2839"/>
    <w:rPr>
      <w:rFonts w:ascii="Arial" w:hAnsi="Arial" w:cs="Arial"/>
      <w:sz w:val="36"/>
      <w:szCs w:val="36"/>
      <w:lang w:val="en-GB" w:eastAsia="zh-CN"/>
    </w:rPr>
  </w:style>
  <w:style w:type="paragraph" w:customStyle="1" w:styleId="B1">
    <w:name w:val="B1"/>
    <w:basedOn w:val="List"/>
    <w:link w:val="B1Char"/>
    <w:rsid w:val="00BF2839"/>
    <w:pPr>
      <w:spacing w:after="180"/>
      <w:jc w:val="left"/>
    </w:pPr>
    <w:rPr>
      <w:lang w:eastAsia="en-US"/>
    </w:rPr>
  </w:style>
  <w:style w:type="paragraph" w:customStyle="1" w:styleId="B2">
    <w:name w:val="B2"/>
    <w:basedOn w:val="List2"/>
    <w:link w:val="B2Char"/>
    <w:rsid w:val="00BF2839"/>
    <w:pPr>
      <w:spacing w:after="180"/>
      <w:jc w:val="left"/>
    </w:pPr>
    <w:rPr>
      <w:lang w:eastAsia="en-US"/>
    </w:rPr>
  </w:style>
  <w:style w:type="paragraph" w:customStyle="1" w:styleId="B3">
    <w:name w:val="B3"/>
    <w:basedOn w:val="List3"/>
    <w:link w:val="B3Char"/>
    <w:rsid w:val="00BF2839"/>
    <w:pPr>
      <w:spacing w:after="180"/>
      <w:jc w:val="left"/>
    </w:pPr>
    <w:rPr>
      <w:lang w:eastAsia="en-US"/>
    </w:rPr>
  </w:style>
  <w:style w:type="paragraph" w:customStyle="1" w:styleId="B4">
    <w:name w:val="B4"/>
    <w:basedOn w:val="List4"/>
    <w:rsid w:val="00BF2839"/>
    <w:pPr>
      <w:spacing w:after="180"/>
      <w:jc w:val="left"/>
    </w:pPr>
    <w:rPr>
      <w:lang w:eastAsia="en-US"/>
    </w:rPr>
  </w:style>
  <w:style w:type="paragraph" w:customStyle="1" w:styleId="Proposal">
    <w:name w:val="Proposal"/>
    <w:basedOn w:val="Normal"/>
    <w:rsid w:val="00BF2839"/>
    <w:pPr>
      <w:numPr>
        <w:numId w:val="3"/>
      </w:numPr>
      <w:tabs>
        <w:tab w:val="clear" w:pos="1304"/>
        <w:tab w:val="left" w:pos="1701"/>
      </w:tabs>
      <w:ind w:left="1701" w:hanging="1701"/>
    </w:pPr>
    <w:rPr>
      <w:b/>
      <w:bCs/>
    </w:rPr>
  </w:style>
  <w:style w:type="character" w:customStyle="1" w:styleId="BodyTextChar">
    <w:name w:val="Body Text Char"/>
    <w:link w:val="BodyText"/>
    <w:rsid w:val="00BF2839"/>
    <w:rPr>
      <w:rFonts w:ascii="Arial" w:hAnsi="Arial"/>
      <w:lang w:val="en-GB" w:eastAsia="zh-CN"/>
    </w:rPr>
  </w:style>
  <w:style w:type="paragraph" w:customStyle="1" w:styleId="B5">
    <w:name w:val="B5"/>
    <w:basedOn w:val="List5"/>
    <w:rsid w:val="00BF2839"/>
    <w:pPr>
      <w:spacing w:after="180"/>
      <w:jc w:val="left"/>
    </w:pPr>
    <w:rPr>
      <w:lang w:eastAsia="en-US"/>
    </w:rPr>
  </w:style>
  <w:style w:type="paragraph" w:customStyle="1" w:styleId="EX">
    <w:name w:val="EX"/>
    <w:basedOn w:val="Normal"/>
    <w:rsid w:val="00BF2839"/>
    <w:pPr>
      <w:keepLines/>
      <w:spacing w:after="180"/>
      <w:ind w:left="1702" w:hanging="1418"/>
      <w:jc w:val="left"/>
    </w:pPr>
    <w:rPr>
      <w:lang w:eastAsia="en-US"/>
    </w:rPr>
  </w:style>
  <w:style w:type="paragraph" w:customStyle="1" w:styleId="EW">
    <w:name w:val="EW"/>
    <w:basedOn w:val="EX"/>
    <w:rsid w:val="00BF2839"/>
    <w:pPr>
      <w:spacing w:after="0"/>
    </w:pPr>
  </w:style>
  <w:style w:type="paragraph" w:customStyle="1" w:styleId="TAL">
    <w:name w:val="TAL"/>
    <w:basedOn w:val="Normal"/>
    <w:rsid w:val="00BF2839"/>
    <w:pPr>
      <w:keepNext/>
      <w:keepLines/>
      <w:spacing w:after="0"/>
      <w:jc w:val="left"/>
    </w:pPr>
    <w:rPr>
      <w:sz w:val="18"/>
      <w:lang w:eastAsia="en-US"/>
    </w:rPr>
  </w:style>
  <w:style w:type="paragraph" w:customStyle="1" w:styleId="TAC">
    <w:name w:val="TAC"/>
    <w:basedOn w:val="TAL"/>
    <w:rsid w:val="00BF2839"/>
    <w:pPr>
      <w:jc w:val="center"/>
    </w:pPr>
  </w:style>
  <w:style w:type="paragraph" w:customStyle="1" w:styleId="TAH">
    <w:name w:val="TAH"/>
    <w:basedOn w:val="TAC"/>
    <w:rsid w:val="00BF2839"/>
    <w:rPr>
      <w:b/>
    </w:rPr>
  </w:style>
  <w:style w:type="paragraph" w:customStyle="1" w:styleId="TAN">
    <w:name w:val="TAN"/>
    <w:basedOn w:val="TAL"/>
    <w:rsid w:val="00BF2839"/>
    <w:pPr>
      <w:ind w:left="851" w:hanging="851"/>
    </w:pPr>
  </w:style>
  <w:style w:type="paragraph" w:customStyle="1" w:styleId="TAR">
    <w:name w:val="TAR"/>
    <w:basedOn w:val="TAL"/>
    <w:rsid w:val="00BF2839"/>
    <w:pPr>
      <w:jc w:val="right"/>
    </w:pPr>
  </w:style>
  <w:style w:type="paragraph" w:customStyle="1" w:styleId="TH">
    <w:name w:val="TH"/>
    <w:basedOn w:val="Normal"/>
    <w:rsid w:val="00BF2839"/>
    <w:pPr>
      <w:keepNext/>
      <w:keepLines/>
      <w:spacing w:before="60" w:after="180"/>
      <w:jc w:val="center"/>
    </w:pPr>
    <w:rPr>
      <w:b/>
      <w:lang w:eastAsia="en-US"/>
    </w:rPr>
  </w:style>
  <w:style w:type="paragraph" w:customStyle="1" w:styleId="TF">
    <w:name w:val="TF"/>
    <w:basedOn w:val="TH"/>
    <w:rsid w:val="00BF2839"/>
    <w:pPr>
      <w:keepNext w:val="0"/>
      <w:spacing w:before="0" w:after="240"/>
    </w:pPr>
  </w:style>
  <w:style w:type="paragraph" w:customStyle="1" w:styleId="TT">
    <w:name w:val="TT"/>
    <w:basedOn w:val="Heading1"/>
    <w:next w:val="Normal"/>
    <w:rsid w:val="00BF2839"/>
    <w:pPr>
      <w:numPr>
        <w:numId w:val="0"/>
      </w:numPr>
      <w:ind w:left="1134" w:hanging="1134"/>
      <w:outlineLvl w:val="9"/>
    </w:pPr>
    <w:rPr>
      <w:rFonts w:cs="Times New Roman"/>
      <w:szCs w:val="20"/>
      <w:lang w:eastAsia="en-US"/>
    </w:rPr>
  </w:style>
  <w:style w:type="paragraph" w:customStyle="1" w:styleId="ZA">
    <w:name w:val="ZA"/>
    <w:rsid w:val="00BF28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28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28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F28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F2839"/>
  </w:style>
  <w:style w:type="paragraph" w:customStyle="1" w:styleId="ZH">
    <w:name w:val="ZH"/>
    <w:rsid w:val="00BF28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F28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F2839"/>
    <w:pPr>
      <w:framePr w:hRule="auto" w:wrap="notBeside" w:y="852"/>
    </w:pPr>
    <w:rPr>
      <w:i w:val="0"/>
      <w:sz w:val="40"/>
    </w:rPr>
  </w:style>
  <w:style w:type="paragraph" w:customStyle="1" w:styleId="ZU">
    <w:name w:val="ZU"/>
    <w:rsid w:val="00BF28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2839"/>
    <w:pPr>
      <w:framePr w:wrap="notBeside" w:y="16161"/>
    </w:pPr>
  </w:style>
  <w:style w:type="paragraph" w:customStyle="1" w:styleId="FP">
    <w:name w:val="FP"/>
    <w:basedOn w:val="Normal"/>
    <w:rsid w:val="00BF2839"/>
    <w:pPr>
      <w:spacing w:after="0"/>
      <w:jc w:val="left"/>
    </w:pPr>
    <w:rPr>
      <w:lang w:eastAsia="en-US"/>
    </w:rPr>
  </w:style>
  <w:style w:type="paragraph" w:customStyle="1" w:styleId="Observation">
    <w:name w:val="Observation"/>
    <w:basedOn w:val="Proposal"/>
    <w:qFormat/>
    <w:rsid w:val="00BF2839"/>
    <w:pPr>
      <w:numPr>
        <w:numId w:val="13"/>
      </w:numPr>
      <w:ind w:left="1701" w:hanging="1701"/>
    </w:pPr>
  </w:style>
  <w:style w:type="paragraph" w:styleId="TableofFigures">
    <w:name w:val="table of figures"/>
    <w:basedOn w:val="Normal"/>
    <w:next w:val="Normal"/>
    <w:uiPriority w:val="99"/>
    <w:rsid w:val="00BF2839"/>
    <w:pPr>
      <w:ind w:left="1418" w:hanging="1418"/>
      <w:jc w:val="left"/>
    </w:pPr>
    <w:rPr>
      <w:b/>
    </w:rPr>
  </w:style>
  <w:style w:type="paragraph" w:customStyle="1" w:styleId="Doc-text2">
    <w:name w:val="Doc-text2"/>
    <w:basedOn w:val="Normal"/>
    <w:link w:val="Doc-text2Char"/>
    <w:qFormat/>
    <w:rsid w:val="00BF283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F2839"/>
    <w:rPr>
      <w:rFonts w:ascii="Arial" w:eastAsia="MS Mincho" w:hAnsi="Arial"/>
      <w:szCs w:val="24"/>
      <w:lang w:val="en-GB" w:eastAsia="en-GB"/>
    </w:rPr>
  </w:style>
  <w:style w:type="paragraph" w:styleId="ListParagraph">
    <w:name w:val="List Paragraph"/>
    <w:basedOn w:val="Normal"/>
    <w:uiPriority w:val="34"/>
    <w:qFormat/>
    <w:rsid w:val="008E5219"/>
    <w:pPr>
      <w:overflowPunct/>
      <w:autoSpaceDE/>
      <w:autoSpaceDN/>
      <w:adjustRightInd/>
      <w:spacing w:after="0"/>
      <w:ind w:left="720"/>
      <w:contextualSpacing/>
      <w:jc w:val="left"/>
      <w:textAlignment w:val="auto"/>
    </w:pPr>
    <w:rPr>
      <w:rFonts w:eastAsiaTheme="minorEastAsia"/>
      <w:sz w:val="22"/>
      <w:lang w:val="en-US" w:eastAsia="en-US"/>
    </w:rPr>
  </w:style>
  <w:style w:type="character" w:customStyle="1" w:styleId="CommentTextChar">
    <w:name w:val="Comment Text Char"/>
    <w:basedOn w:val="DefaultParagraphFont"/>
    <w:link w:val="CommentText"/>
    <w:rsid w:val="00C438B0"/>
    <w:rPr>
      <w:rFonts w:ascii="Arial" w:hAnsi="Arial"/>
      <w:lang w:val="en-GB" w:eastAsia="zh-CN"/>
    </w:rPr>
  </w:style>
  <w:style w:type="character" w:customStyle="1" w:styleId="B1Char">
    <w:name w:val="B1 Char"/>
    <w:link w:val="B1"/>
    <w:rsid w:val="00E7002F"/>
    <w:rPr>
      <w:rFonts w:ascii="Arial" w:hAnsi="Arial"/>
      <w:lang w:val="en-GB"/>
    </w:rPr>
  </w:style>
  <w:style w:type="character" w:customStyle="1" w:styleId="B2Char">
    <w:name w:val="B2 Char"/>
    <w:link w:val="B2"/>
    <w:rsid w:val="00E7002F"/>
    <w:rPr>
      <w:rFonts w:ascii="Arial" w:hAnsi="Arial"/>
      <w:lang w:val="en-GB"/>
    </w:rPr>
  </w:style>
  <w:style w:type="character" w:customStyle="1" w:styleId="B3Char">
    <w:name w:val="B3 Char"/>
    <w:link w:val="B3"/>
    <w:rsid w:val="00E7002F"/>
    <w:rPr>
      <w:rFonts w:ascii="Arial" w:hAnsi="Arial"/>
      <w:lang w:val="en-GB"/>
    </w:rPr>
  </w:style>
  <w:style w:type="paragraph" w:styleId="Revision">
    <w:name w:val="Revision"/>
    <w:hidden/>
    <w:uiPriority w:val="99"/>
    <w:semiHidden/>
    <w:rsid w:val="00DD4684"/>
    <w:rPr>
      <w:rFonts w:ascii="Arial" w:hAnsi="Arial"/>
      <w:lang w:val="en-GB" w:eastAsia="zh-CN"/>
    </w:rPr>
  </w:style>
  <w:style w:type="paragraph" w:styleId="NormalWeb">
    <w:name w:val="Normal (Web)"/>
    <w:basedOn w:val="Normal"/>
    <w:uiPriority w:val="99"/>
    <w:unhideWhenUsed/>
    <w:rsid w:val="00011D70"/>
    <w:pPr>
      <w:overflowPunct/>
      <w:autoSpaceDE/>
      <w:autoSpaceDN/>
      <w:adjustRightInd/>
      <w:spacing w:before="100" w:beforeAutospacing="1" w:after="100" w:afterAutospacing="1"/>
      <w:jc w:val="left"/>
      <w:textAlignment w:val="auto"/>
    </w:pPr>
    <w:rPr>
      <w:rFonts w:ascii="Times New Roman" w:hAnsi="Times New Roman"/>
      <w:color w:val="000000"/>
      <w:sz w:val="24"/>
      <w:szCs w:val="24"/>
      <w:lang w:val="sv-SE"/>
    </w:rPr>
  </w:style>
  <w:style w:type="paragraph" w:customStyle="1" w:styleId="IvDInstructiontext">
    <w:name w:val="IvD Instructiontext"/>
    <w:basedOn w:val="BodyText"/>
    <w:link w:val="IvDInstructiontextChar"/>
    <w:uiPriority w:val="99"/>
    <w:qFormat/>
    <w:rsid w:val="002637D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637D5"/>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637D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2637D5"/>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071913">
      <w:bodyDiv w:val="1"/>
      <w:marLeft w:val="0"/>
      <w:marRight w:val="0"/>
      <w:marTop w:val="0"/>
      <w:marBottom w:val="0"/>
      <w:divBdr>
        <w:top w:val="none" w:sz="0" w:space="0" w:color="auto"/>
        <w:left w:val="none" w:sz="0" w:space="0" w:color="auto"/>
        <w:bottom w:val="none" w:sz="0" w:space="0" w:color="auto"/>
        <w:right w:val="none" w:sz="0" w:space="0" w:color="auto"/>
      </w:divBdr>
      <w:divsChild>
        <w:div w:id="968126476">
          <w:marLeft w:val="0"/>
          <w:marRight w:val="0"/>
          <w:marTop w:val="0"/>
          <w:marBottom w:val="0"/>
          <w:divBdr>
            <w:top w:val="none" w:sz="0" w:space="0" w:color="auto"/>
            <w:left w:val="none" w:sz="0" w:space="0" w:color="auto"/>
            <w:bottom w:val="none" w:sz="0" w:space="0" w:color="auto"/>
            <w:right w:val="none" w:sz="0" w:space="0" w:color="auto"/>
          </w:divBdr>
          <w:divsChild>
            <w:div w:id="309797982">
              <w:marLeft w:val="0"/>
              <w:marRight w:val="0"/>
              <w:marTop w:val="0"/>
              <w:marBottom w:val="0"/>
              <w:divBdr>
                <w:top w:val="none" w:sz="0" w:space="0" w:color="auto"/>
                <w:left w:val="none" w:sz="0" w:space="0" w:color="auto"/>
                <w:bottom w:val="none" w:sz="0" w:space="0" w:color="auto"/>
                <w:right w:val="none" w:sz="0" w:space="0" w:color="auto"/>
              </w:divBdr>
              <w:divsChild>
                <w:div w:id="624966504">
                  <w:marLeft w:val="0"/>
                  <w:marRight w:val="0"/>
                  <w:marTop w:val="0"/>
                  <w:marBottom w:val="0"/>
                  <w:divBdr>
                    <w:top w:val="none" w:sz="0" w:space="0" w:color="auto"/>
                    <w:left w:val="none" w:sz="0" w:space="0" w:color="auto"/>
                    <w:bottom w:val="none" w:sz="0" w:space="0" w:color="auto"/>
                    <w:right w:val="none" w:sz="0" w:space="0" w:color="auto"/>
                  </w:divBdr>
                  <w:divsChild>
                    <w:div w:id="394206664">
                      <w:marLeft w:val="0"/>
                      <w:marRight w:val="0"/>
                      <w:marTop w:val="0"/>
                      <w:marBottom w:val="0"/>
                      <w:divBdr>
                        <w:top w:val="none" w:sz="0" w:space="0" w:color="auto"/>
                        <w:left w:val="none" w:sz="0" w:space="0" w:color="auto"/>
                        <w:bottom w:val="none" w:sz="0" w:space="0" w:color="auto"/>
                        <w:right w:val="none" w:sz="0" w:space="0" w:color="auto"/>
                      </w:divBdr>
                      <w:divsChild>
                        <w:div w:id="1771580032">
                          <w:marLeft w:val="0"/>
                          <w:marRight w:val="0"/>
                          <w:marTop w:val="0"/>
                          <w:marBottom w:val="0"/>
                          <w:divBdr>
                            <w:top w:val="none" w:sz="0" w:space="0" w:color="auto"/>
                            <w:left w:val="none" w:sz="0" w:space="0" w:color="auto"/>
                            <w:bottom w:val="none" w:sz="0" w:space="0" w:color="auto"/>
                            <w:right w:val="none" w:sz="0" w:space="0" w:color="auto"/>
                          </w:divBdr>
                          <w:divsChild>
                            <w:div w:id="729881811">
                              <w:marLeft w:val="0"/>
                              <w:marRight w:val="0"/>
                              <w:marTop w:val="0"/>
                              <w:marBottom w:val="0"/>
                              <w:divBdr>
                                <w:top w:val="none" w:sz="0" w:space="0" w:color="auto"/>
                                <w:left w:val="none" w:sz="0" w:space="0" w:color="auto"/>
                                <w:bottom w:val="none" w:sz="0" w:space="0" w:color="auto"/>
                                <w:right w:val="none" w:sz="0" w:space="0" w:color="auto"/>
                              </w:divBdr>
                              <w:divsChild>
                                <w:div w:id="469709799">
                                  <w:marLeft w:val="0"/>
                                  <w:marRight w:val="0"/>
                                  <w:marTop w:val="0"/>
                                  <w:marBottom w:val="0"/>
                                  <w:divBdr>
                                    <w:top w:val="none" w:sz="0" w:space="0" w:color="auto"/>
                                    <w:left w:val="none" w:sz="0" w:space="0" w:color="auto"/>
                                    <w:bottom w:val="none" w:sz="0" w:space="0" w:color="auto"/>
                                    <w:right w:val="none" w:sz="0" w:space="0" w:color="auto"/>
                                  </w:divBdr>
                                  <w:divsChild>
                                    <w:div w:id="918445647">
                                      <w:marLeft w:val="0"/>
                                      <w:marRight w:val="0"/>
                                      <w:marTop w:val="0"/>
                                      <w:marBottom w:val="0"/>
                                      <w:divBdr>
                                        <w:top w:val="none" w:sz="0" w:space="0" w:color="auto"/>
                                        <w:left w:val="none" w:sz="0" w:space="0" w:color="auto"/>
                                        <w:bottom w:val="none" w:sz="0" w:space="0" w:color="auto"/>
                                        <w:right w:val="none" w:sz="0" w:space="0" w:color="auto"/>
                                      </w:divBdr>
                                      <w:divsChild>
                                        <w:div w:id="1056782031">
                                          <w:marLeft w:val="0"/>
                                          <w:marRight w:val="0"/>
                                          <w:marTop w:val="0"/>
                                          <w:marBottom w:val="0"/>
                                          <w:divBdr>
                                            <w:top w:val="none" w:sz="0" w:space="0" w:color="auto"/>
                                            <w:left w:val="none" w:sz="0" w:space="0" w:color="auto"/>
                                            <w:bottom w:val="none" w:sz="0" w:space="0" w:color="auto"/>
                                            <w:right w:val="none" w:sz="0" w:space="0" w:color="auto"/>
                                          </w:divBdr>
                                          <w:divsChild>
                                            <w:div w:id="1654066519">
                                              <w:marLeft w:val="0"/>
                                              <w:marRight w:val="0"/>
                                              <w:marTop w:val="0"/>
                                              <w:marBottom w:val="0"/>
                                              <w:divBdr>
                                                <w:top w:val="none" w:sz="0" w:space="0" w:color="auto"/>
                                                <w:left w:val="none" w:sz="0" w:space="0" w:color="auto"/>
                                                <w:bottom w:val="none" w:sz="0" w:space="0" w:color="auto"/>
                                                <w:right w:val="none" w:sz="0" w:space="0" w:color="auto"/>
                                              </w:divBdr>
                                              <w:divsChild>
                                                <w:div w:id="151026355">
                                                  <w:marLeft w:val="0"/>
                                                  <w:marRight w:val="0"/>
                                                  <w:marTop w:val="0"/>
                                                  <w:marBottom w:val="0"/>
                                                  <w:divBdr>
                                                    <w:top w:val="none" w:sz="0" w:space="0" w:color="auto"/>
                                                    <w:left w:val="none" w:sz="0" w:space="0" w:color="auto"/>
                                                    <w:bottom w:val="none" w:sz="0" w:space="0" w:color="auto"/>
                                                    <w:right w:val="none" w:sz="0" w:space="0" w:color="auto"/>
                                                  </w:divBdr>
                                                  <w:divsChild>
                                                    <w:div w:id="251740605">
                                                      <w:marLeft w:val="0"/>
                                                      <w:marRight w:val="0"/>
                                                      <w:marTop w:val="0"/>
                                                      <w:marBottom w:val="0"/>
                                                      <w:divBdr>
                                                        <w:top w:val="none" w:sz="0" w:space="0" w:color="auto"/>
                                                        <w:left w:val="none" w:sz="0" w:space="0" w:color="auto"/>
                                                        <w:bottom w:val="none" w:sz="0" w:space="0" w:color="auto"/>
                                                        <w:right w:val="none" w:sz="0" w:space="0" w:color="auto"/>
                                                      </w:divBdr>
                                                      <w:divsChild>
                                                        <w:div w:id="700017171">
                                                          <w:marLeft w:val="0"/>
                                                          <w:marRight w:val="0"/>
                                                          <w:marTop w:val="450"/>
                                                          <w:marBottom w:val="450"/>
                                                          <w:divBdr>
                                                            <w:top w:val="none" w:sz="0" w:space="0" w:color="auto"/>
                                                            <w:left w:val="none" w:sz="0" w:space="0" w:color="auto"/>
                                                            <w:bottom w:val="none" w:sz="0" w:space="0" w:color="auto"/>
                                                            <w:right w:val="none" w:sz="0" w:space="0" w:color="auto"/>
                                                          </w:divBdr>
                                                          <w:divsChild>
                                                            <w:div w:id="2108303857">
                                                              <w:marLeft w:val="0"/>
                                                              <w:marRight w:val="0"/>
                                                              <w:marTop w:val="0"/>
                                                              <w:marBottom w:val="0"/>
                                                              <w:divBdr>
                                                                <w:top w:val="none" w:sz="0" w:space="0" w:color="auto"/>
                                                                <w:left w:val="none" w:sz="0" w:space="0" w:color="auto"/>
                                                                <w:bottom w:val="none" w:sz="0" w:space="0" w:color="auto"/>
                                                                <w:right w:val="none" w:sz="0" w:space="0" w:color="auto"/>
                                                              </w:divBdr>
                                                              <w:divsChild>
                                                                <w:div w:id="1153984025">
                                                                  <w:marLeft w:val="0"/>
                                                                  <w:marRight w:val="0"/>
                                                                  <w:marTop w:val="525"/>
                                                                  <w:marBottom w:val="300"/>
                                                                  <w:divBdr>
                                                                    <w:top w:val="single" w:sz="6" w:space="0" w:color="8CE1F5"/>
                                                                    <w:left w:val="single" w:sz="6" w:space="11" w:color="8CE1F5"/>
                                                                    <w:bottom w:val="single" w:sz="6" w:space="0" w:color="8CE1F5"/>
                                                                    <w:right w:val="single" w:sz="6" w:space="11" w:color="8CE1F5"/>
                                                                  </w:divBdr>
                                                                  <w:divsChild>
                                                                    <w:div w:id="1576235411">
                                                                      <w:marLeft w:val="0"/>
                                                                      <w:marRight w:val="0"/>
                                                                      <w:marTop w:val="0"/>
                                                                      <w:marBottom w:val="0"/>
                                                                      <w:divBdr>
                                                                        <w:top w:val="none" w:sz="0" w:space="0" w:color="auto"/>
                                                                        <w:left w:val="none" w:sz="0" w:space="0" w:color="auto"/>
                                                                        <w:bottom w:val="none" w:sz="0" w:space="0" w:color="auto"/>
                                                                        <w:right w:val="none" w:sz="0" w:space="0" w:color="auto"/>
                                                                      </w:divBdr>
                                                                      <w:divsChild>
                                                                        <w:div w:id="637731025">
                                                                          <w:marLeft w:val="0"/>
                                                                          <w:marRight w:val="0"/>
                                                                          <w:marTop w:val="0"/>
                                                                          <w:marBottom w:val="0"/>
                                                                          <w:divBdr>
                                                                            <w:top w:val="single" w:sz="6" w:space="11" w:color="8CE1F5"/>
                                                                            <w:left w:val="none" w:sz="0" w:space="0" w:color="auto"/>
                                                                            <w:bottom w:val="none" w:sz="0" w:space="0" w:color="auto"/>
                                                                            <w:right w:val="none" w:sz="0" w:space="0" w:color="auto"/>
                                                                          </w:divBdr>
                                                                          <w:divsChild>
                                                                            <w:div w:id="605768800">
                                                                              <w:marLeft w:val="0"/>
                                                                              <w:marRight w:val="0"/>
                                                                              <w:marTop w:val="0"/>
                                                                              <w:marBottom w:val="0"/>
                                                                              <w:divBdr>
                                                                                <w:top w:val="none" w:sz="0" w:space="0" w:color="auto"/>
                                                                                <w:left w:val="none" w:sz="0" w:space="0" w:color="auto"/>
                                                                                <w:bottom w:val="none" w:sz="0" w:space="0" w:color="auto"/>
                                                                                <w:right w:val="none" w:sz="0" w:space="0" w:color="auto"/>
                                                                              </w:divBdr>
                                                                              <w:divsChild>
                                                                                <w:div w:id="358314863">
                                                                                  <w:marLeft w:val="0"/>
                                                                                  <w:marRight w:val="0"/>
                                                                                  <w:marTop w:val="0"/>
                                                                                  <w:marBottom w:val="0"/>
                                                                                  <w:divBdr>
                                                                                    <w:top w:val="none" w:sz="0" w:space="0" w:color="auto"/>
                                                                                    <w:left w:val="none" w:sz="0" w:space="0" w:color="auto"/>
                                                                                    <w:bottom w:val="none" w:sz="0" w:space="0" w:color="auto"/>
                                                                                    <w:right w:val="none" w:sz="0" w:space="0" w:color="auto"/>
                                                                                  </w:divBdr>
                                                                                  <w:divsChild>
                                                                                    <w:div w:id="752048874">
                                                                                      <w:marLeft w:val="0"/>
                                                                                      <w:marRight w:val="0"/>
                                                                                      <w:marTop w:val="0"/>
                                                                                      <w:marBottom w:val="200"/>
                                                                                      <w:divBdr>
                                                                                        <w:top w:val="none" w:sz="0" w:space="0" w:color="auto"/>
                                                                                        <w:left w:val="none" w:sz="0" w:space="0" w:color="auto"/>
                                                                                        <w:bottom w:val="none" w:sz="0" w:space="0" w:color="auto"/>
                                                                                        <w:right w:val="none" w:sz="0" w:space="0" w:color="auto"/>
                                                                                      </w:divBdr>
                                                                                    </w:div>
                                                                                    <w:div w:id="1543442588">
                                                                                      <w:marLeft w:val="0"/>
                                                                                      <w:marRight w:val="0"/>
                                                                                      <w:marTop w:val="0"/>
                                                                                      <w:marBottom w:val="200"/>
                                                                                      <w:divBdr>
                                                                                        <w:top w:val="none" w:sz="0" w:space="0" w:color="auto"/>
                                                                                        <w:left w:val="none" w:sz="0" w:space="0" w:color="auto"/>
                                                                                        <w:bottom w:val="none" w:sz="0" w:space="0" w:color="auto"/>
                                                                                        <w:right w:val="none" w:sz="0" w:space="0" w:color="auto"/>
                                                                                      </w:divBdr>
                                                                                    </w:div>
                                                                                    <w:div w:id="808590101">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3448757">
      <w:bodyDiv w:val="1"/>
      <w:marLeft w:val="0"/>
      <w:marRight w:val="0"/>
      <w:marTop w:val="0"/>
      <w:marBottom w:val="0"/>
      <w:divBdr>
        <w:top w:val="none" w:sz="0" w:space="0" w:color="auto"/>
        <w:left w:val="none" w:sz="0" w:space="0" w:color="auto"/>
        <w:bottom w:val="none" w:sz="0" w:space="0" w:color="auto"/>
        <w:right w:val="none" w:sz="0" w:space="0" w:color="auto"/>
      </w:divBdr>
    </w:div>
    <w:div w:id="1169247179">
      <w:bodyDiv w:val="1"/>
      <w:marLeft w:val="0"/>
      <w:marRight w:val="0"/>
      <w:marTop w:val="0"/>
      <w:marBottom w:val="0"/>
      <w:divBdr>
        <w:top w:val="none" w:sz="0" w:space="0" w:color="auto"/>
        <w:left w:val="none" w:sz="0" w:space="0" w:color="auto"/>
        <w:bottom w:val="none" w:sz="0" w:space="0" w:color="auto"/>
        <w:right w:val="none" w:sz="0" w:space="0" w:color="auto"/>
      </w:divBdr>
      <w:divsChild>
        <w:div w:id="78405690">
          <w:marLeft w:val="0"/>
          <w:marRight w:val="0"/>
          <w:marTop w:val="0"/>
          <w:marBottom w:val="0"/>
          <w:divBdr>
            <w:top w:val="none" w:sz="0" w:space="0" w:color="auto"/>
            <w:left w:val="none" w:sz="0" w:space="0" w:color="auto"/>
            <w:bottom w:val="none" w:sz="0" w:space="0" w:color="auto"/>
            <w:right w:val="none" w:sz="0" w:space="0" w:color="auto"/>
          </w:divBdr>
          <w:divsChild>
            <w:div w:id="1714308845">
              <w:marLeft w:val="0"/>
              <w:marRight w:val="0"/>
              <w:marTop w:val="0"/>
              <w:marBottom w:val="0"/>
              <w:divBdr>
                <w:top w:val="none" w:sz="0" w:space="0" w:color="auto"/>
                <w:left w:val="none" w:sz="0" w:space="0" w:color="auto"/>
                <w:bottom w:val="none" w:sz="0" w:space="0" w:color="auto"/>
                <w:right w:val="none" w:sz="0" w:space="0" w:color="auto"/>
              </w:divBdr>
              <w:divsChild>
                <w:div w:id="586427291">
                  <w:marLeft w:val="0"/>
                  <w:marRight w:val="0"/>
                  <w:marTop w:val="0"/>
                  <w:marBottom w:val="0"/>
                  <w:divBdr>
                    <w:top w:val="none" w:sz="0" w:space="0" w:color="auto"/>
                    <w:left w:val="none" w:sz="0" w:space="0" w:color="auto"/>
                    <w:bottom w:val="none" w:sz="0" w:space="0" w:color="auto"/>
                    <w:right w:val="none" w:sz="0" w:space="0" w:color="auto"/>
                  </w:divBdr>
                  <w:divsChild>
                    <w:div w:id="1707564887">
                      <w:marLeft w:val="0"/>
                      <w:marRight w:val="0"/>
                      <w:marTop w:val="0"/>
                      <w:marBottom w:val="0"/>
                      <w:divBdr>
                        <w:top w:val="none" w:sz="0" w:space="0" w:color="auto"/>
                        <w:left w:val="none" w:sz="0" w:space="0" w:color="auto"/>
                        <w:bottom w:val="none" w:sz="0" w:space="0" w:color="auto"/>
                        <w:right w:val="none" w:sz="0" w:space="0" w:color="auto"/>
                      </w:divBdr>
                      <w:divsChild>
                        <w:div w:id="1610776220">
                          <w:marLeft w:val="0"/>
                          <w:marRight w:val="0"/>
                          <w:marTop w:val="0"/>
                          <w:marBottom w:val="0"/>
                          <w:divBdr>
                            <w:top w:val="none" w:sz="0" w:space="0" w:color="auto"/>
                            <w:left w:val="none" w:sz="0" w:space="0" w:color="auto"/>
                            <w:bottom w:val="none" w:sz="0" w:space="0" w:color="auto"/>
                            <w:right w:val="none" w:sz="0" w:space="0" w:color="auto"/>
                          </w:divBdr>
                          <w:divsChild>
                            <w:div w:id="690647831">
                              <w:marLeft w:val="0"/>
                              <w:marRight w:val="0"/>
                              <w:marTop w:val="0"/>
                              <w:marBottom w:val="0"/>
                              <w:divBdr>
                                <w:top w:val="none" w:sz="0" w:space="0" w:color="auto"/>
                                <w:left w:val="none" w:sz="0" w:space="0" w:color="auto"/>
                                <w:bottom w:val="none" w:sz="0" w:space="0" w:color="auto"/>
                                <w:right w:val="none" w:sz="0" w:space="0" w:color="auto"/>
                              </w:divBdr>
                              <w:divsChild>
                                <w:div w:id="323364080">
                                  <w:marLeft w:val="0"/>
                                  <w:marRight w:val="0"/>
                                  <w:marTop w:val="0"/>
                                  <w:marBottom w:val="0"/>
                                  <w:divBdr>
                                    <w:top w:val="none" w:sz="0" w:space="0" w:color="auto"/>
                                    <w:left w:val="none" w:sz="0" w:space="0" w:color="auto"/>
                                    <w:bottom w:val="none" w:sz="0" w:space="0" w:color="auto"/>
                                    <w:right w:val="none" w:sz="0" w:space="0" w:color="auto"/>
                                  </w:divBdr>
                                  <w:divsChild>
                                    <w:div w:id="2131512719">
                                      <w:marLeft w:val="0"/>
                                      <w:marRight w:val="0"/>
                                      <w:marTop w:val="0"/>
                                      <w:marBottom w:val="0"/>
                                      <w:divBdr>
                                        <w:top w:val="none" w:sz="0" w:space="0" w:color="auto"/>
                                        <w:left w:val="none" w:sz="0" w:space="0" w:color="auto"/>
                                        <w:bottom w:val="none" w:sz="0" w:space="0" w:color="auto"/>
                                        <w:right w:val="none" w:sz="0" w:space="0" w:color="auto"/>
                                      </w:divBdr>
                                      <w:divsChild>
                                        <w:div w:id="120853549">
                                          <w:marLeft w:val="0"/>
                                          <w:marRight w:val="0"/>
                                          <w:marTop w:val="0"/>
                                          <w:marBottom w:val="0"/>
                                          <w:divBdr>
                                            <w:top w:val="none" w:sz="0" w:space="0" w:color="auto"/>
                                            <w:left w:val="none" w:sz="0" w:space="0" w:color="auto"/>
                                            <w:bottom w:val="none" w:sz="0" w:space="0" w:color="auto"/>
                                            <w:right w:val="none" w:sz="0" w:space="0" w:color="auto"/>
                                          </w:divBdr>
                                          <w:divsChild>
                                            <w:div w:id="572591048">
                                              <w:marLeft w:val="0"/>
                                              <w:marRight w:val="0"/>
                                              <w:marTop w:val="0"/>
                                              <w:marBottom w:val="0"/>
                                              <w:divBdr>
                                                <w:top w:val="none" w:sz="0" w:space="0" w:color="auto"/>
                                                <w:left w:val="none" w:sz="0" w:space="0" w:color="auto"/>
                                                <w:bottom w:val="none" w:sz="0" w:space="0" w:color="auto"/>
                                                <w:right w:val="none" w:sz="0" w:space="0" w:color="auto"/>
                                              </w:divBdr>
                                              <w:divsChild>
                                                <w:div w:id="1260990018">
                                                  <w:marLeft w:val="0"/>
                                                  <w:marRight w:val="0"/>
                                                  <w:marTop w:val="0"/>
                                                  <w:marBottom w:val="0"/>
                                                  <w:divBdr>
                                                    <w:top w:val="none" w:sz="0" w:space="0" w:color="auto"/>
                                                    <w:left w:val="none" w:sz="0" w:space="0" w:color="auto"/>
                                                    <w:bottom w:val="none" w:sz="0" w:space="0" w:color="auto"/>
                                                    <w:right w:val="none" w:sz="0" w:space="0" w:color="auto"/>
                                                  </w:divBdr>
                                                  <w:divsChild>
                                                    <w:div w:id="1057246709">
                                                      <w:marLeft w:val="0"/>
                                                      <w:marRight w:val="0"/>
                                                      <w:marTop w:val="0"/>
                                                      <w:marBottom w:val="0"/>
                                                      <w:divBdr>
                                                        <w:top w:val="none" w:sz="0" w:space="0" w:color="auto"/>
                                                        <w:left w:val="none" w:sz="0" w:space="0" w:color="auto"/>
                                                        <w:bottom w:val="none" w:sz="0" w:space="0" w:color="auto"/>
                                                        <w:right w:val="none" w:sz="0" w:space="0" w:color="auto"/>
                                                      </w:divBdr>
                                                      <w:divsChild>
                                                        <w:div w:id="1451121872">
                                                          <w:marLeft w:val="0"/>
                                                          <w:marRight w:val="0"/>
                                                          <w:marTop w:val="450"/>
                                                          <w:marBottom w:val="450"/>
                                                          <w:divBdr>
                                                            <w:top w:val="none" w:sz="0" w:space="0" w:color="auto"/>
                                                            <w:left w:val="none" w:sz="0" w:space="0" w:color="auto"/>
                                                            <w:bottom w:val="none" w:sz="0" w:space="0" w:color="auto"/>
                                                            <w:right w:val="none" w:sz="0" w:space="0" w:color="auto"/>
                                                          </w:divBdr>
                                                          <w:divsChild>
                                                            <w:div w:id="29653933">
                                                              <w:marLeft w:val="0"/>
                                                              <w:marRight w:val="0"/>
                                                              <w:marTop w:val="0"/>
                                                              <w:marBottom w:val="0"/>
                                                              <w:divBdr>
                                                                <w:top w:val="none" w:sz="0" w:space="0" w:color="auto"/>
                                                                <w:left w:val="none" w:sz="0" w:space="0" w:color="auto"/>
                                                                <w:bottom w:val="none" w:sz="0" w:space="0" w:color="auto"/>
                                                                <w:right w:val="none" w:sz="0" w:space="0" w:color="auto"/>
                                                              </w:divBdr>
                                                              <w:divsChild>
                                                                <w:div w:id="997657737">
                                                                  <w:marLeft w:val="0"/>
                                                                  <w:marRight w:val="0"/>
                                                                  <w:marTop w:val="525"/>
                                                                  <w:marBottom w:val="300"/>
                                                                  <w:divBdr>
                                                                    <w:top w:val="single" w:sz="6" w:space="0" w:color="8CE1F5"/>
                                                                    <w:left w:val="single" w:sz="6" w:space="11" w:color="8CE1F5"/>
                                                                    <w:bottom w:val="single" w:sz="6" w:space="0" w:color="8CE1F5"/>
                                                                    <w:right w:val="single" w:sz="6" w:space="11" w:color="8CE1F5"/>
                                                                  </w:divBdr>
                                                                  <w:divsChild>
                                                                    <w:div w:id="134762443">
                                                                      <w:marLeft w:val="0"/>
                                                                      <w:marRight w:val="0"/>
                                                                      <w:marTop w:val="0"/>
                                                                      <w:marBottom w:val="0"/>
                                                                      <w:divBdr>
                                                                        <w:top w:val="none" w:sz="0" w:space="0" w:color="auto"/>
                                                                        <w:left w:val="none" w:sz="0" w:space="0" w:color="auto"/>
                                                                        <w:bottom w:val="none" w:sz="0" w:space="0" w:color="auto"/>
                                                                        <w:right w:val="none" w:sz="0" w:space="0" w:color="auto"/>
                                                                      </w:divBdr>
                                                                      <w:divsChild>
                                                                        <w:div w:id="1884754702">
                                                                          <w:marLeft w:val="0"/>
                                                                          <w:marRight w:val="0"/>
                                                                          <w:marTop w:val="0"/>
                                                                          <w:marBottom w:val="0"/>
                                                                          <w:divBdr>
                                                                            <w:top w:val="single" w:sz="6" w:space="11" w:color="8CE1F5"/>
                                                                            <w:left w:val="none" w:sz="0" w:space="0" w:color="auto"/>
                                                                            <w:bottom w:val="none" w:sz="0" w:space="0" w:color="auto"/>
                                                                            <w:right w:val="none" w:sz="0" w:space="0" w:color="auto"/>
                                                                          </w:divBdr>
                                                                          <w:divsChild>
                                                                            <w:div w:id="328144510">
                                                                              <w:marLeft w:val="0"/>
                                                                              <w:marRight w:val="0"/>
                                                                              <w:marTop w:val="0"/>
                                                                              <w:marBottom w:val="0"/>
                                                                              <w:divBdr>
                                                                                <w:top w:val="none" w:sz="0" w:space="0" w:color="auto"/>
                                                                                <w:left w:val="none" w:sz="0" w:space="0" w:color="auto"/>
                                                                                <w:bottom w:val="none" w:sz="0" w:space="0" w:color="auto"/>
                                                                                <w:right w:val="none" w:sz="0" w:space="0" w:color="auto"/>
                                                                              </w:divBdr>
                                                                              <w:divsChild>
                                                                                <w:div w:id="1367411119">
                                                                                  <w:marLeft w:val="0"/>
                                                                                  <w:marRight w:val="0"/>
                                                                                  <w:marTop w:val="0"/>
                                                                                  <w:marBottom w:val="0"/>
                                                                                  <w:divBdr>
                                                                                    <w:top w:val="none" w:sz="0" w:space="0" w:color="auto"/>
                                                                                    <w:left w:val="none" w:sz="0" w:space="0" w:color="auto"/>
                                                                                    <w:bottom w:val="none" w:sz="0" w:space="0" w:color="auto"/>
                                                                                    <w:right w:val="none" w:sz="0" w:space="0" w:color="auto"/>
                                                                                  </w:divBdr>
                                                                                  <w:divsChild>
                                                                                    <w:div w:id="320961190">
                                                                                      <w:marLeft w:val="0"/>
                                                                                      <w:marRight w:val="0"/>
                                                                                      <w:marTop w:val="0"/>
                                                                                      <w:marBottom w:val="220"/>
                                                                                      <w:divBdr>
                                                                                        <w:top w:val="none" w:sz="0" w:space="0" w:color="auto"/>
                                                                                        <w:left w:val="none" w:sz="0" w:space="0" w:color="auto"/>
                                                                                        <w:bottom w:val="none" w:sz="0" w:space="0" w:color="auto"/>
                                                                                        <w:right w:val="none" w:sz="0" w:space="0" w:color="auto"/>
                                                                                      </w:divBdr>
                                                                                      <w:divsChild>
                                                                                        <w:div w:id="1071389643">
                                                                                          <w:marLeft w:val="0"/>
                                                                                          <w:marRight w:val="0"/>
                                                                                          <w:marTop w:val="0"/>
                                                                                          <w:marBottom w:val="220"/>
                                                                                          <w:divBdr>
                                                                                            <w:top w:val="none" w:sz="0" w:space="0" w:color="auto"/>
                                                                                            <w:left w:val="none" w:sz="0" w:space="0" w:color="auto"/>
                                                                                            <w:bottom w:val="none" w:sz="0" w:space="0" w:color="auto"/>
                                                                                            <w:right w:val="none" w:sz="0" w:space="0" w:color="auto"/>
                                                                                          </w:divBdr>
                                                                                        </w:div>
                                                                                        <w:div w:id="1192962301">
                                                                                          <w:marLeft w:val="0"/>
                                                                                          <w:marRight w:val="0"/>
                                                                                          <w:marTop w:val="0"/>
                                                                                          <w:marBottom w:val="220"/>
                                                                                          <w:divBdr>
                                                                                            <w:top w:val="none" w:sz="0" w:space="0" w:color="auto"/>
                                                                                            <w:left w:val="none" w:sz="0" w:space="0" w:color="auto"/>
                                                                                            <w:bottom w:val="none" w:sz="0" w:space="0" w:color="auto"/>
                                                                                            <w:right w:val="none" w:sz="0" w:space="0" w:color="auto"/>
                                                                                          </w:divBdr>
                                                                                        </w:div>
                                                                                        <w:div w:id="2027634660">
                                                                                          <w:marLeft w:val="0"/>
                                                                                          <w:marRight w:val="0"/>
                                                                                          <w:marTop w:val="0"/>
                                                                                          <w:marBottom w:val="220"/>
                                                                                          <w:divBdr>
                                                                                            <w:top w:val="none" w:sz="0" w:space="0" w:color="auto"/>
                                                                                            <w:left w:val="none" w:sz="0" w:space="0" w:color="auto"/>
                                                                                            <w:bottom w:val="none" w:sz="0" w:space="0" w:color="auto"/>
                                                                                            <w:right w:val="none" w:sz="0" w:space="0" w:color="auto"/>
                                                                                          </w:divBdr>
                                                                                        </w:div>
                                                                                        <w:div w:id="1051147535">
                                                                                          <w:marLeft w:val="0"/>
                                                                                          <w:marRight w:val="0"/>
                                                                                          <w:marTop w:val="0"/>
                                                                                          <w:marBottom w:val="2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622840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7461237">
      <w:bodyDiv w:val="1"/>
      <w:marLeft w:val="0"/>
      <w:marRight w:val="0"/>
      <w:marTop w:val="0"/>
      <w:marBottom w:val="0"/>
      <w:divBdr>
        <w:top w:val="none" w:sz="0" w:space="0" w:color="auto"/>
        <w:left w:val="none" w:sz="0" w:space="0" w:color="auto"/>
        <w:bottom w:val="none" w:sz="0" w:space="0" w:color="auto"/>
        <w:right w:val="none" w:sz="0" w:space="0" w:color="auto"/>
      </w:divBdr>
    </w:div>
    <w:div w:id="1851719778">
      <w:bodyDiv w:val="1"/>
      <w:marLeft w:val="0"/>
      <w:marRight w:val="0"/>
      <w:marTop w:val="0"/>
      <w:marBottom w:val="0"/>
      <w:divBdr>
        <w:top w:val="none" w:sz="0" w:space="0" w:color="auto"/>
        <w:left w:val="none" w:sz="0" w:space="0" w:color="auto"/>
        <w:bottom w:val="none" w:sz="0" w:space="0" w:color="auto"/>
        <w:right w:val="none" w:sz="0" w:space="0" w:color="auto"/>
      </w:divBdr>
    </w:div>
    <w:div w:id="20113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B87D5-D861-4376-BDC4-BDD7081E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1365</Words>
  <Characters>7240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2017-08-11T19:48:00Z</dcterms:created>
  <dcterms:modified xsi:type="dcterms:W3CDTF">2017-08-11T19:53:00Z</dcterms:modified>
</cp:coreProperties>
</file>